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8EDBF" w14:textId="4DB0BD52" w:rsidR="00822469" w:rsidRDefault="00101519">
      <w:r>
        <w:t>ALBERTA</w:t>
      </w:r>
      <w:r>
        <w:br/>
      </w:r>
    </w:p>
    <w:p w14:paraId="0F27976E" w14:textId="77777777" w:rsidR="00101519" w:rsidRDefault="00101519" w:rsidP="00101519">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Sustaining gains from innovation and entrepreneurship is important but emerging markets are risky. Establishing an economy requires overcoming many factors. Key factors for countries to gain an advantage in the economy include boosting job creation, consumer spending, business investment. Boosting these benefits leads to social change. But the issue of sustaining these benefits resulting in social change is longevity. Therefore, a sustainable developmental approach is essential. The sustainable developmental approach must be based on crystal clear facts. Such that, the sustainable development approach can be proven relevant for the present but understood that the plan or strategy does not come without compromising outcomes now or in the future. Therefore, sustaining gains in innovation and entrepreneurship requires flexibility. In a sustainable entrepreneurial environment, there are existing rules which may be received as barriers that cause entrepreneurs to fear personal failures.</w:t>
      </w:r>
    </w:p>
    <w:p w14:paraId="7CE91898" w14:textId="77777777" w:rsidR="00101519" w:rsidRDefault="00101519" w:rsidP="00101519">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On the other hand, government and private capital providers' insightfulness serves to identify barriers as indicators to make adjustments. The purpose of making adjustments is to enhance the institutional climate between the entrepreneur and the lender. By this means of enhancement, it fulfills the needs of safeguarding the government and private capital providers’ assets at the bargaining table. The enhancements take into account ethical behavior; while ethics and self-interest drive the need to cater, this raises concerns across the table (</w:t>
      </w:r>
      <w:proofErr w:type="spellStart"/>
      <w:r>
        <w:rPr>
          <w:rFonts w:ascii="Helvetica" w:hAnsi="Helvetica" w:cs="Helvetica"/>
          <w:color w:val="3D494C"/>
        </w:rPr>
        <w:t>Hoogendoorn</w:t>
      </w:r>
      <w:proofErr w:type="spellEnd"/>
      <w:r>
        <w:rPr>
          <w:rFonts w:ascii="Helvetica" w:hAnsi="Helvetica" w:cs="Helvetica"/>
          <w:color w:val="3D494C"/>
        </w:rPr>
        <w:t>, et al., 2019).</w:t>
      </w:r>
    </w:p>
    <w:p w14:paraId="156183EB" w14:textId="77777777" w:rsidR="00101519" w:rsidRDefault="00101519" w:rsidP="00101519">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In addition, there is continued growth in the area where the emerging economies face elevated risk to perceive clouds in economic growth. While the economies are vulnerable to shocks, structural weakness, and uncertainty in international policies has moved countries like China and India to build on being self-reliant and continue growth despite the obstacles. Countries like South Africa, Brazil, and Turkey are heavily overweighted by political uncertainty. which slows economic growth and sustainability. But the offset of experience, emerging markets can overcome vulnerabilities to shocking conditions and rebuild, look for opportunities, and build a more resilient economy.</w:t>
      </w:r>
    </w:p>
    <w:p w14:paraId="590E9C38" w14:textId="77777777" w:rsidR="00101519" w:rsidRDefault="00101519" w:rsidP="00101519">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All positive contributors to achieving economic growth work together in building the global economy. Many factors boost the nations’ overall economies and improve the quality of life. Elevating the population out of poverty and learning from one another how to navigate risk and play an important role in maintaining sustainability in the emerging economies (</w:t>
      </w:r>
      <w:proofErr w:type="spellStart"/>
      <w:r>
        <w:rPr>
          <w:rFonts w:ascii="Helvetica" w:hAnsi="Helvetica" w:cs="Helvetica"/>
          <w:color w:val="3D494C"/>
        </w:rPr>
        <w:t>Duttagupta</w:t>
      </w:r>
      <w:proofErr w:type="spellEnd"/>
      <w:r>
        <w:rPr>
          <w:rFonts w:ascii="Helvetica" w:hAnsi="Helvetica" w:cs="Helvetica"/>
          <w:color w:val="3D494C"/>
        </w:rPr>
        <w:t xml:space="preserve"> &amp; </w:t>
      </w:r>
      <w:proofErr w:type="spellStart"/>
      <w:r>
        <w:rPr>
          <w:rFonts w:ascii="Helvetica" w:hAnsi="Helvetica" w:cs="Helvetica"/>
          <w:color w:val="3D494C"/>
        </w:rPr>
        <w:t>Pazarbasioglu</w:t>
      </w:r>
      <w:proofErr w:type="spellEnd"/>
      <w:r>
        <w:rPr>
          <w:rFonts w:ascii="Helvetica" w:hAnsi="Helvetica" w:cs="Helvetica"/>
          <w:color w:val="3D494C"/>
        </w:rPr>
        <w:t>, 2021).</w:t>
      </w:r>
    </w:p>
    <w:p w14:paraId="208C05FC" w14:textId="77777777" w:rsidR="00101519" w:rsidRDefault="00101519" w:rsidP="00101519">
      <w:pPr>
        <w:pStyle w:val="NormalWeb"/>
        <w:shd w:val="clear" w:color="auto" w:fill="FFFFFF"/>
        <w:spacing w:before="180" w:beforeAutospacing="0" w:after="0" w:afterAutospacing="0"/>
        <w:rPr>
          <w:rFonts w:ascii="Helvetica" w:hAnsi="Helvetica" w:cs="Helvetica"/>
          <w:color w:val="3D494C"/>
        </w:rPr>
      </w:pPr>
      <w:r>
        <w:rPr>
          <w:rStyle w:val="Strong"/>
          <w:rFonts w:ascii="Helvetica" w:hAnsi="Helvetica" w:cs="Helvetica"/>
          <w:color w:val="3D494C"/>
        </w:rPr>
        <w:t>Reference</w:t>
      </w:r>
    </w:p>
    <w:p w14:paraId="36CE4EC4" w14:textId="77777777" w:rsidR="00101519" w:rsidRDefault="00101519" w:rsidP="00101519">
      <w:pPr>
        <w:pStyle w:val="NormalWeb"/>
        <w:shd w:val="clear" w:color="auto" w:fill="FFFFFF"/>
        <w:spacing w:before="180" w:beforeAutospacing="0" w:after="180" w:afterAutospacing="0"/>
        <w:rPr>
          <w:rFonts w:ascii="Helvetica" w:hAnsi="Helvetica" w:cs="Helvetica"/>
          <w:color w:val="3D494C"/>
        </w:rPr>
      </w:pPr>
      <w:proofErr w:type="spellStart"/>
      <w:r>
        <w:rPr>
          <w:rFonts w:ascii="Helvetica" w:hAnsi="Helvetica" w:cs="Helvetica"/>
          <w:color w:val="3D494C"/>
        </w:rPr>
        <w:t>Duttagupta</w:t>
      </w:r>
      <w:proofErr w:type="spellEnd"/>
      <w:r>
        <w:rPr>
          <w:rFonts w:ascii="Helvetica" w:hAnsi="Helvetica" w:cs="Helvetica"/>
          <w:color w:val="3D494C"/>
        </w:rPr>
        <w:t xml:space="preserve">, R &amp; </w:t>
      </w:r>
      <w:proofErr w:type="spellStart"/>
      <w:r>
        <w:rPr>
          <w:rFonts w:ascii="Helvetica" w:hAnsi="Helvetica" w:cs="Helvetica"/>
          <w:color w:val="3D494C"/>
        </w:rPr>
        <w:t>Pazarbasioglu</w:t>
      </w:r>
      <w:proofErr w:type="spellEnd"/>
      <w:r>
        <w:rPr>
          <w:rFonts w:ascii="Helvetica" w:hAnsi="Helvetica" w:cs="Helvetica"/>
          <w:color w:val="3D494C"/>
        </w:rPr>
        <w:t>, C. (2021). Emerging Markets Must Balance Overcoming the Pandemic, Returning to More Normal Policies, and Rebuilding Their Economies.  Retrieved from https://www.imf.org/external/pubs/ft/fandd/2021/06/the-future-of-emerging-markets-duttagupta-and-pazarbasioglu.htm</w:t>
      </w:r>
    </w:p>
    <w:p w14:paraId="23B09437" w14:textId="77777777" w:rsidR="00101519" w:rsidRDefault="00101519" w:rsidP="00101519">
      <w:pPr>
        <w:pStyle w:val="NormalWeb"/>
        <w:shd w:val="clear" w:color="auto" w:fill="FFFFFF"/>
        <w:spacing w:before="180" w:beforeAutospacing="0" w:after="0" w:afterAutospacing="0"/>
        <w:rPr>
          <w:rFonts w:ascii="Helvetica" w:hAnsi="Helvetica" w:cs="Helvetica"/>
          <w:color w:val="3D494C"/>
        </w:rPr>
      </w:pPr>
      <w:proofErr w:type="spellStart"/>
      <w:r>
        <w:rPr>
          <w:rFonts w:ascii="Helvetica" w:hAnsi="Helvetica" w:cs="Helvetica"/>
          <w:color w:val="3D494C"/>
        </w:rPr>
        <w:t>Hoogendoorn</w:t>
      </w:r>
      <w:proofErr w:type="spellEnd"/>
      <w:r>
        <w:rPr>
          <w:rFonts w:ascii="Helvetica" w:hAnsi="Helvetica" w:cs="Helvetica"/>
          <w:color w:val="3D494C"/>
        </w:rPr>
        <w:t xml:space="preserve">, B., van der </w:t>
      </w:r>
      <w:proofErr w:type="spellStart"/>
      <w:r>
        <w:rPr>
          <w:rFonts w:ascii="Helvetica" w:hAnsi="Helvetica" w:cs="Helvetica"/>
          <w:color w:val="3D494C"/>
        </w:rPr>
        <w:t>Zwan</w:t>
      </w:r>
      <w:proofErr w:type="spellEnd"/>
      <w:r>
        <w:rPr>
          <w:rFonts w:ascii="Helvetica" w:hAnsi="Helvetica" w:cs="Helvetica"/>
          <w:color w:val="3D494C"/>
        </w:rPr>
        <w:t xml:space="preserve">, P. &amp; </w:t>
      </w:r>
      <w:proofErr w:type="spellStart"/>
      <w:r>
        <w:rPr>
          <w:rFonts w:ascii="Helvetica" w:hAnsi="Helvetica" w:cs="Helvetica"/>
          <w:color w:val="3D494C"/>
        </w:rPr>
        <w:t>Thurik</w:t>
      </w:r>
      <w:proofErr w:type="spellEnd"/>
      <w:r>
        <w:rPr>
          <w:rFonts w:ascii="Helvetica" w:hAnsi="Helvetica" w:cs="Helvetica"/>
          <w:color w:val="3D494C"/>
        </w:rPr>
        <w:t>, R. Sustainable Entrepreneurship: The Role of Perceived Barriers and Risk. J Bus Ethics 157, 1133–1154 (2019). https://doi.org/10.1007/s10551-017-3646-8</w:t>
      </w:r>
    </w:p>
    <w:p w14:paraId="105BC24B" w14:textId="5D98BAFA" w:rsidR="00101519" w:rsidRDefault="00101519">
      <w:r>
        <w:lastRenderedPageBreak/>
        <w:t>ERICA</w:t>
      </w:r>
    </w:p>
    <w:p w14:paraId="05A584BF" w14:textId="77777777" w:rsidR="00101519" w:rsidRPr="00101519" w:rsidRDefault="00101519" w:rsidP="00101519">
      <w:pPr>
        <w:shd w:val="clear" w:color="auto" w:fill="FFFFFF"/>
        <w:spacing w:before="180" w:after="180" w:line="240" w:lineRule="auto"/>
        <w:rPr>
          <w:rFonts w:ascii="Helvetica" w:eastAsia="Times New Roman" w:hAnsi="Helvetica" w:cs="Helvetica"/>
          <w:color w:val="3D494C"/>
          <w:sz w:val="24"/>
          <w:szCs w:val="24"/>
        </w:rPr>
      </w:pPr>
      <w:r w:rsidRPr="00101519">
        <w:rPr>
          <w:rFonts w:ascii="Helvetica" w:eastAsia="Times New Roman" w:hAnsi="Helvetica" w:cs="Helvetica"/>
          <w:color w:val="3D494C"/>
          <w:sz w:val="24"/>
          <w:szCs w:val="24"/>
        </w:rPr>
        <w:t>I will most likely sound repetitive at this point, but the first thing that comes to mind when I read the discussion post was the poverty factor within economies. I have done a lot of research so far in this class, and in past courses, many economic issues with growth and stability stem from poverty within different economies. It's a mix of poverty and inequality by gender and race. Entrepreneurs are shaped by individual responses within their daily activities or surrounding. Suppose the economy can promote policies and infrastructures that support all. In that case, entrepreneurs will become more motivated to do something for themselves or establish a way to solve a complex problem that affects others. Countries can overcome some of these issues to transform an emerging economy into an established economy by creating resources and financial support for those in need. When applying it to sustainable growth, you also have to consider other areas like providing a means of employment and creating new business (Augustine, 2020).</w:t>
      </w:r>
    </w:p>
    <w:p w14:paraId="39E25A1F" w14:textId="77777777" w:rsidR="00101519" w:rsidRPr="00101519" w:rsidRDefault="00101519" w:rsidP="00101519">
      <w:pPr>
        <w:shd w:val="clear" w:color="auto" w:fill="FFFFFF"/>
        <w:spacing w:before="180" w:after="0" w:line="240" w:lineRule="auto"/>
        <w:rPr>
          <w:rFonts w:ascii="Helvetica" w:eastAsia="Times New Roman" w:hAnsi="Helvetica" w:cs="Helvetica"/>
          <w:color w:val="3D494C"/>
          <w:sz w:val="24"/>
          <w:szCs w:val="24"/>
        </w:rPr>
      </w:pPr>
      <w:r w:rsidRPr="00101519">
        <w:rPr>
          <w:rFonts w:ascii="Helvetica" w:eastAsia="Times New Roman" w:hAnsi="Helvetica" w:cs="Helvetica"/>
          <w:color w:val="3D494C"/>
          <w:sz w:val="24"/>
          <w:szCs w:val="24"/>
        </w:rPr>
        <w:br/>
        <w:t xml:space="preserve">So far, we've learned how entrepreneurship and innovation are part of the key to an economy's success. If an emerging economy wants to transform into an established economy, they must learn from their surrounding countries and see what is new and upcoming with the labor market. Their customers may come from all over with different backgrounds, and they must learn more about them and how to appeal to them. Successful entrepreneurship is a combination of freedoms to succeed and the discipline of learning from </w:t>
      </w:r>
      <w:proofErr w:type="gramStart"/>
      <w:r w:rsidRPr="00101519">
        <w:rPr>
          <w:rFonts w:ascii="Helvetica" w:eastAsia="Times New Roman" w:hAnsi="Helvetica" w:cs="Helvetica"/>
          <w:color w:val="3D494C"/>
          <w:sz w:val="24"/>
          <w:szCs w:val="24"/>
        </w:rPr>
        <w:t>failure  (</w:t>
      </w:r>
      <w:proofErr w:type="gramEnd"/>
      <w:r w:rsidRPr="00101519">
        <w:rPr>
          <w:rFonts w:ascii="Helvetica" w:eastAsia="Times New Roman" w:hAnsi="Helvetica" w:cs="Helvetica"/>
          <w:color w:val="3D494C"/>
          <w:sz w:val="24"/>
          <w:szCs w:val="24"/>
        </w:rPr>
        <w:t>Sobel et al., 2007). If you want to succeed, then you must at least be open to business strategies going either way. The economy should still support and motivate its citizens to take chances and follow through with their ideas, products, and services. This is how in part how economies can help and build upon sustainability. </w:t>
      </w:r>
    </w:p>
    <w:p w14:paraId="3BA81CB9" w14:textId="77777777" w:rsidR="00101519" w:rsidRPr="00101519" w:rsidRDefault="00101519" w:rsidP="00101519">
      <w:pPr>
        <w:shd w:val="clear" w:color="auto" w:fill="FFFFFF"/>
        <w:spacing w:before="180" w:after="180" w:line="240" w:lineRule="auto"/>
        <w:rPr>
          <w:rFonts w:ascii="Helvetica" w:eastAsia="Times New Roman" w:hAnsi="Helvetica" w:cs="Helvetica"/>
          <w:color w:val="3D494C"/>
          <w:sz w:val="24"/>
          <w:szCs w:val="24"/>
        </w:rPr>
      </w:pPr>
      <w:r w:rsidRPr="00101519">
        <w:rPr>
          <w:rFonts w:ascii="Helvetica" w:eastAsia="Times New Roman" w:hAnsi="Helvetica" w:cs="Helvetica"/>
          <w:color w:val="3D494C"/>
          <w:sz w:val="24"/>
          <w:szCs w:val="24"/>
        </w:rPr>
        <w:t> </w:t>
      </w:r>
    </w:p>
    <w:p w14:paraId="3B62A74B" w14:textId="77777777" w:rsidR="00101519" w:rsidRPr="00101519" w:rsidRDefault="00101519" w:rsidP="00101519">
      <w:pPr>
        <w:shd w:val="clear" w:color="auto" w:fill="FFFFFF"/>
        <w:spacing w:after="0" w:line="240" w:lineRule="auto"/>
        <w:rPr>
          <w:rFonts w:ascii="Helvetica" w:eastAsia="Times New Roman" w:hAnsi="Helvetica" w:cs="Helvetica"/>
          <w:color w:val="3D494C"/>
          <w:sz w:val="24"/>
          <w:szCs w:val="24"/>
        </w:rPr>
      </w:pPr>
      <w:r w:rsidRPr="00101519">
        <w:rPr>
          <w:rFonts w:ascii="Helvetica" w:eastAsia="Times New Roman" w:hAnsi="Helvetica" w:cs="Helvetica"/>
          <w:color w:val="3D494C"/>
          <w:sz w:val="24"/>
          <w:szCs w:val="24"/>
        </w:rPr>
        <w:t>References</w:t>
      </w:r>
    </w:p>
    <w:p w14:paraId="52B8CA07" w14:textId="77777777" w:rsidR="00101519" w:rsidRPr="00101519" w:rsidRDefault="00101519" w:rsidP="00101519">
      <w:pPr>
        <w:shd w:val="clear" w:color="auto" w:fill="FFFFFF"/>
        <w:spacing w:after="0" w:line="240" w:lineRule="auto"/>
        <w:rPr>
          <w:rFonts w:ascii="Helvetica" w:eastAsia="Times New Roman" w:hAnsi="Helvetica" w:cs="Helvetica"/>
          <w:color w:val="3D494C"/>
          <w:sz w:val="24"/>
          <w:szCs w:val="24"/>
        </w:rPr>
      </w:pPr>
      <w:r w:rsidRPr="00101519">
        <w:rPr>
          <w:rFonts w:ascii="Helvetica" w:eastAsia="Times New Roman" w:hAnsi="Helvetica" w:cs="Helvetica"/>
          <w:color w:val="3D494C"/>
          <w:sz w:val="24"/>
          <w:szCs w:val="24"/>
        </w:rPr>
        <w:t>Augustine, R. (2020). Dimension and strategy for entrepreneurship: A need for sustainable growth.</w:t>
      </w:r>
      <w:r w:rsidRPr="00101519">
        <w:rPr>
          <w:rFonts w:ascii="Helvetica" w:eastAsia="Times New Roman" w:hAnsi="Helvetica" w:cs="Helvetica"/>
          <w:i/>
          <w:iCs/>
          <w:color w:val="3D494C"/>
          <w:sz w:val="24"/>
          <w:szCs w:val="24"/>
        </w:rPr>
        <w:t> International Journal of Education and Management Studies, 10</w:t>
      </w:r>
      <w:r w:rsidRPr="00101519">
        <w:rPr>
          <w:rFonts w:ascii="Helvetica" w:eastAsia="Times New Roman" w:hAnsi="Helvetica" w:cs="Helvetica"/>
          <w:color w:val="3D494C"/>
          <w:sz w:val="24"/>
          <w:szCs w:val="24"/>
        </w:rPr>
        <w:t>(4), 451-453. https://www-proquest-com.proxy-library.ashford.edu/scholarly-journals/dimension-strategy-cntrcprcncurship-need/docview/2494568040/se-2?accountid=32521</w:t>
      </w:r>
    </w:p>
    <w:p w14:paraId="162B49F5" w14:textId="77777777" w:rsidR="00101519" w:rsidRPr="00101519" w:rsidRDefault="00101519" w:rsidP="00101519">
      <w:pPr>
        <w:shd w:val="clear" w:color="auto" w:fill="FFFFFF"/>
        <w:spacing w:after="0" w:line="240" w:lineRule="auto"/>
        <w:rPr>
          <w:rFonts w:ascii="Helvetica" w:eastAsia="Times New Roman" w:hAnsi="Helvetica" w:cs="Helvetica"/>
          <w:color w:val="3D494C"/>
          <w:sz w:val="24"/>
          <w:szCs w:val="24"/>
        </w:rPr>
      </w:pPr>
      <w:r w:rsidRPr="00101519">
        <w:rPr>
          <w:rFonts w:ascii="Helvetica" w:eastAsia="Times New Roman" w:hAnsi="Helvetica" w:cs="Helvetica"/>
          <w:color w:val="3D494C"/>
          <w:sz w:val="24"/>
          <w:szCs w:val="24"/>
        </w:rPr>
        <w:t>Sobel, R. S., Clark, J. R., &amp; Lee, D. R. (2007). Freedom, barriers to entry, entrepreneurship, and economic progress.</w:t>
      </w:r>
      <w:r w:rsidRPr="00101519">
        <w:rPr>
          <w:rFonts w:ascii="Helvetica" w:eastAsia="Times New Roman" w:hAnsi="Helvetica" w:cs="Helvetica"/>
          <w:i/>
          <w:iCs/>
          <w:color w:val="3D494C"/>
          <w:sz w:val="24"/>
          <w:szCs w:val="24"/>
        </w:rPr>
        <w:t> Review of Austrian Economics, 20</w:t>
      </w:r>
      <w:r w:rsidRPr="00101519">
        <w:rPr>
          <w:rFonts w:ascii="Helvetica" w:eastAsia="Times New Roman" w:hAnsi="Helvetica" w:cs="Helvetica"/>
          <w:color w:val="3D494C"/>
          <w:sz w:val="24"/>
          <w:szCs w:val="24"/>
        </w:rPr>
        <w:t>(4), 221-236. http://dx.doi.org.proxy-library.ashford.edu/10.1007/s11138-007-0023-3</w:t>
      </w:r>
    </w:p>
    <w:p w14:paraId="4749EA01" w14:textId="77777777" w:rsidR="00101519" w:rsidRDefault="00101519"/>
    <w:sectPr w:rsidR="00101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519"/>
    <w:rsid w:val="00101519"/>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1DD8E"/>
  <w15:chartTrackingRefBased/>
  <w15:docId w15:val="{7E0081A3-9BBB-4858-800E-6F04610EC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15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15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135171">
      <w:bodyDiv w:val="1"/>
      <w:marLeft w:val="0"/>
      <w:marRight w:val="0"/>
      <w:marTop w:val="0"/>
      <w:marBottom w:val="0"/>
      <w:divBdr>
        <w:top w:val="none" w:sz="0" w:space="0" w:color="auto"/>
        <w:left w:val="none" w:sz="0" w:space="0" w:color="auto"/>
        <w:bottom w:val="none" w:sz="0" w:space="0" w:color="auto"/>
        <w:right w:val="none" w:sz="0" w:space="0" w:color="auto"/>
      </w:divBdr>
    </w:div>
    <w:div w:id="194950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840</Words>
  <Characters>4789</Characters>
  <Application>Microsoft Office Word</Application>
  <DocSecurity>0</DocSecurity>
  <Lines>39</Lines>
  <Paragraphs>11</Paragraphs>
  <ScaleCrop>false</ScaleCrop>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2021-10-22T14:49:00Z</dcterms:created>
  <dcterms:modified xsi:type="dcterms:W3CDTF">2021-10-22T14:50:00Z</dcterms:modified>
</cp:coreProperties>
</file>