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155F12" w14:textId="77777777" w:rsidR="009057C3" w:rsidRDefault="009057C3" w:rsidP="009057C3">
      <w:pPr>
        <w:spacing w:after="0" w:line="480" w:lineRule="auto"/>
        <w:contextualSpacing/>
        <w:jc w:val="center"/>
        <w:rPr>
          <w:rFonts w:ascii="Times New Roman" w:hAnsi="Times New Roman" w:cs="Times New Roman"/>
          <w:sz w:val="24"/>
          <w:szCs w:val="24"/>
        </w:rPr>
      </w:pPr>
    </w:p>
    <w:p w14:paraId="4DECDE13" w14:textId="77777777" w:rsidR="009057C3" w:rsidRDefault="009057C3" w:rsidP="009057C3">
      <w:pPr>
        <w:spacing w:after="0" w:line="480" w:lineRule="auto"/>
        <w:contextualSpacing/>
        <w:jc w:val="center"/>
        <w:rPr>
          <w:rFonts w:ascii="Times New Roman" w:hAnsi="Times New Roman" w:cs="Times New Roman"/>
          <w:sz w:val="24"/>
          <w:szCs w:val="24"/>
        </w:rPr>
      </w:pPr>
    </w:p>
    <w:p w14:paraId="13106302" w14:textId="77777777" w:rsidR="009057C3" w:rsidRDefault="009057C3" w:rsidP="009057C3">
      <w:pPr>
        <w:spacing w:after="0" w:line="480" w:lineRule="auto"/>
        <w:contextualSpacing/>
        <w:jc w:val="center"/>
        <w:rPr>
          <w:rFonts w:ascii="Times New Roman" w:hAnsi="Times New Roman" w:cs="Times New Roman"/>
          <w:sz w:val="24"/>
          <w:szCs w:val="24"/>
        </w:rPr>
      </w:pPr>
    </w:p>
    <w:p w14:paraId="76B310FA" w14:textId="77777777" w:rsidR="009057C3" w:rsidRDefault="009057C3" w:rsidP="009057C3">
      <w:pPr>
        <w:spacing w:after="0" w:line="480" w:lineRule="auto"/>
        <w:contextualSpacing/>
        <w:jc w:val="center"/>
        <w:rPr>
          <w:rFonts w:ascii="Times New Roman" w:hAnsi="Times New Roman" w:cs="Times New Roman"/>
          <w:sz w:val="24"/>
          <w:szCs w:val="24"/>
        </w:rPr>
      </w:pPr>
    </w:p>
    <w:p w14:paraId="4E9F2B13" w14:textId="77777777" w:rsidR="009057C3" w:rsidRDefault="009057C3" w:rsidP="009057C3">
      <w:pPr>
        <w:spacing w:after="0" w:line="480" w:lineRule="auto"/>
        <w:contextualSpacing/>
        <w:jc w:val="center"/>
        <w:rPr>
          <w:rFonts w:ascii="Times New Roman" w:hAnsi="Times New Roman" w:cs="Times New Roman"/>
          <w:sz w:val="24"/>
          <w:szCs w:val="24"/>
        </w:rPr>
      </w:pPr>
    </w:p>
    <w:p w14:paraId="4B44533D" w14:textId="77777777" w:rsidR="009057C3" w:rsidRDefault="009057C3" w:rsidP="009057C3">
      <w:pPr>
        <w:spacing w:after="0" w:line="480" w:lineRule="auto"/>
        <w:contextualSpacing/>
        <w:jc w:val="center"/>
        <w:rPr>
          <w:rFonts w:ascii="Times New Roman" w:hAnsi="Times New Roman" w:cs="Times New Roman"/>
          <w:sz w:val="24"/>
          <w:szCs w:val="24"/>
        </w:rPr>
      </w:pPr>
    </w:p>
    <w:p w14:paraId="173A351D" w14:textId="77777777" w:rsidR="009057C3" w:rsidRDefault="009057C3" w:rsidP="009057C3">
      <w:pPr>
        <w:spacing w:after="0" w:line="480" w:lineRule="auto"/>
        <w:contextualSpacing/>
        <w:jc w:val="center"/>
        <w:rPr>
          <w:rFonts w:ascii="Times New Roman" w:hAnsi="Times New Roman" w:cs="Times New Roman"/>
          <w:sz w:val="24"/>
          <w:szCs w:val="24"/>
        </w:rPr>
      </w:pPr>
    </w:p>
    <w:p w14:paraId="2F1446DE" w14:textId="77777777" w:rsidR="009057C3" w:rsidRDefault="009057C3" w:rsidP="009057C3">
      <w:pPr>
        <w:spacing w:after="0" w:line="480" w:lineRule="auto"/>
        <w:contextualSpacing/>
        <w:jc w:val="center"/>
        <w:rPr>
          <w:rFonts w:ascii="Times New Roman" w:hAnsi="Times New Roman" w:cs="Times New Roman"/>
          <w:sz w:val="24"/>
          <w:szCs w:val="24"/>
        </w:rPr>
      </w:pPr>
    </w:p>
    <w:p w14:paraId="37EF885E" w14:textId="77777777" w:rsidR="009057C3" w:rsidRDefault="009057C3" w:rsidP="009057C3">
      <w:pPr>
        <w:spacing w:after="0" w:line="480" w:lineRule="auto"/>
        <w:contextualSpacing/>
        <w:jc w:val="center"/>
        <w:rPr>
          <w:rFonts w:ascii="Times New Roman" w:hAnsi="Times New Roman" w:cs="Times New Roman"/>
          <w:sz w:val="24"/>
          <w:szCs w:val="24"/>
        </w:rPr>
      </w:pPr>
    </w:p>
    <w:p w14:paraId="7B4F5031" w14:textId="77777777" w:rsidR="009057C3" w:rsidRDefault="008B1749" w:rsidP="009057C3">
      <w:pPr>
        <w:spacing w:after="0" w:line="480" w:lineRule="auto"/>
        <w:contextualSpacing/>
        <w:jc w:val="center"/>
        <w:rPr>
          <w:rFonts w:ascii="Times New Roman" w:hAnsi="Times New Roman" w:cs="Times New Roman"/>
          <w:sz w:val="24"/>
          <w:szCs w:val="24"/>
        </w:rPr>
      </w:pPr>
      <w:r w:rsidRPr="009057C3">
        <w:rPr>
          <w:rFonts w:ascii="Times New Roman" w:hAnsi="Times New Roman" w:cs="Times New Roman"/>
          <w:sz w:val="24"/>
          <w:szCs w:val="24"/>
        </w:rPr>
        <w:t>Race or Gender in Awarding Federal Contracts</w:t>
      </w:r>
    </w:p>
    <w:p w14:paraId="2CC46409" w14:textId="77777777" w:rsidR="009057C3" w:rsidRDefault="008B1749" w:rsidP="009057C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Affiliate:</w:t>
      </w:r>
    </w:p>
    <w:p w14:paraId="053E670B" w14:textId="77777777" w:rsidR="009057C3" w:rsidRDefault="008B1749" w:rsidP="009057C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4603C632" w14:textId="77777777" w:rsidR="009057C3" w:rsidRDefault="009057C3" w:rsidP="009057C3">
      <w:pPr>
        <w:spacing w:after="0" w:line="480" w:lineRule="auto"/>
        <w:contextualSpacing/>
        <w:jc w:val="center"/>
        <w:rPr>
          <w:rFonts w:ascii="Times New Roman" w:hAnsi="Times New Roman" w:cs="Times New Roman"/>
          <w:sz w:val="24"/>
          <w:szCs w:val="24"/>
        </w:rPr>
      </w:pPr>
    </w:p>
    <w:p w14:paraId="19D744A8" w14:textId="77777777" w:rsidR="009057C3" w:rsidRDefault="009057C3" w:rsidP="009057C3">
      <w:pPr>
        <w:spacing w:after="0" w:line="480" w:lineRule="auto"/>
        <w:contextualSpacing/>
        <w:jc w:val="center"/>
        <w:rPr>
          <w:rFonts w:ascii="Times New Roman" w:hAnsi="Times New Roman" w:cs="Times New Roman"/>
          <w:sz w:val="24"/>
          <w:szCs w:val="24"/>
        </w:rPr>
      </w:pPr>
    </w:p>
    <w:p w14:paraId="7271A85C" w14:textId="77777777" w:rsidR="009057C3" w:rsidRDefault="009057C3" w:rsidP="009057C3">
      <w:pPr>
        <w:spacing w:after="0" w:line="480" w:lineRule="auto"/>
        <w:contextualSpacing/>
        <w:jc w:val="center"/>
        <w:rPr>
          <w:rFonts w:ascii="Times New Roman" w:hAnsi="Times New Roman" w:cs="Times New Roman"/>
          <w:sz w:val="24"/>
          <w:szCs w:val="24"/>
        </w:rPr>
      </w:pPr>
    </w:p>
    <w:p w14:paraId="0D54CEA1" w14:textId="77777777" w:rsidR="009057C3" w:rsidRDefault="009057C3" w:rsidP="009057C3">
      <w:pPr>
        <w:spacing w:after="0" w:line="480" w:lineRule="auto"/>
        <w:contextualSpacing/>
        <w:jc w:val="center"/>
        <w:rPr>
          <w:rFonts w:ascii="Times New Roman" w:hAnsi="Times New Roman" w:cs="Times New Roman"/>
          <w:sz w:val="24"/>
          <w:szCs w:val="24"/>
        </w:rPr>
      </w:pPr>
    </w:p>
    <w:p w14:paraId="0987BE0C" w14:textId="77777777" w:rsidR="009057C3" w:rsidRDefault="009057C3" w:rsidP="009057C3">
      <w:pPr>
        <w:spacing w:after="0" w:line="480" w:lineRule="auto"/>
        <w:contextualSpacing/>
        <w:jc w:val="center"/>
        <w:rPr>
          <w:rFonts w:ascii="Times New Roman" w:hAnsi="Times New Roman" w:cs="Times New Roman"/>
          <w:sz w:val="24"/>
          <w:szCs w:val="24"/>
        </w:rPr>
      </w:pPr>
    </w:p>
    <w:p w14:paraId="379297BE" w14:textId="77777777" w:rsidR="009057C3" w:rsidRDefault="009057C3" w:rsidP="009057C3">
      <w:pPr>
        <w:spacing w:after="0" w:line="480" w:lineRule="auto"/>
        <w:contextualSpacing/>
        <w:jc w:val="center"/>
        <w:rPr>
          <w:rFonts w:ascii="Times New Roman" w:hAnsi="Times New Roman" w:cs="Times New Roman"/>
          <w:sz w:val="24"/>
          <w:szCs w:val="24"/>
        </w:rPr>
      </w:pPr>
    </w:p>
    <w:p w14:paraId="0DD43582" w14:textId="77777777" w:rsidR="009057C3" w:rsidRDefault="009057C3" w:rsidP="009057C3">
      <w:pPr>
        <w:spacing w:after="0" w:line="480" w:lineRule="auto"/>
        <w:contextualSpacing/>
        <w:jc w:val="center"/>
        <w:rPr>
          <w:rFonts w:ascii="Times New Roman" w:hAnsi="Times New Roman" w:cs="Times New Roman"/>
          <w:sz w:val="24"/>
          <w:szCs w:val="24"/>
        </w:rPr>
      </w:pPr>
    </w:p>
    <w:p w14:paraId="21157BC5" w14:textId="77777777" w:rsidR="009057C3" w:rsidRDefault="009057C3" w:rsidP="009057C3">
      <w:pPr>
        <w:spacing w:after="0" w:line="480" w:lineRule="auto"/>
        <w:contextualSpacing/>
        <w:jc w:val="center"/>
        <w:rPr>
          <w:rFonts w:ascii="Times New Roman" w:hAnsi="Times New Roman" w:cs="Times New Roman"/>
          <w:sz w:val="24"/>
          <w:szCs w:val="24"/>
        </w:rPr>
      </w:pPr>
    </w:p>
    <w:p w14:paraId="5039E93E" w14:textId="77777777" w:rsidR="009057C3" w:rsidRDefault="009057C3" w:rsidP="009057C3">
      <w:pPr>
        <w:spacing w:after="0" w:line="480" w:lineRule="auto"/>
        <w:contextualSpacing/>
        <w:jc w:val="center"/>
        <w:rPr>
          <w:rFonts w:ascii="Times New Roman" w:hAnsi="Times New Roman" w:cs="Times New Roman"/>
          <w:sz w:val="24"/>
          <w:szCs w:val="24"/>
        </w:rPr>
      </w:pPr>
    </w:p>
    <w:p w14:paraId="58B5BD99" w14:textId="77777777" w:rsidR="009057C3" w:rsidRDefault="009057C3" w:rsidP="009057C3">
      <w:pPr>
        <w:spacing w:after="0" w:line="480" w:lineRule="auto"/>
        <w:contextualSpacing/>
        <w:jc w:val="center"/>
        <w:rPr>
          <w:rFonts w:ascii="Times New Roman" w:hAnsi="Times New Roman" w:cs="Times New Roman"/>
          <w:sz w:val="24"/>
          <w:szCs w:val="24"/>
        </w:rPr>
      </w:pPr>
    </w:p>
    <w:p w14:paraId="4F377AC3" w14:textId="77777777" w:rsidR="009057C3" w:rsidRDefault="009057C3" w:rsidP="009057C3">
      <w:pPr>
        <w:spacing w:after="0" w:line="480" w:lineRule="auto"/>
        <w:contextualSpacing/>
        <w:jc w:val="center"/>
        <w:rPr>
          <w:rFonts w:ascii="Times New Roman" w:hAnsi="Times New Roman" w:cs="Times New Roman"/>
          <w:sz w:val="24"/>
          <w:szCs w:val="24"/>
        </w:rPr>
      </w:pPr>
    </w:p>
    <w:p w14:paraId="1E6D5F10" w14:textId="77777777" w:rsidR="009057C3" w:rsidRDefault="008B1749" w:rsidP="009057C3">
      <w:pPr>
        <w:spacing w:after="0" w:line="480" w:lineRule="auto"/>
        <w:contextualSpacing/>
        <w:jc w:val="center"/>
        <w:rPr>
          <w:rFonts w:ascii="Times New Roman" w:hAnsi="Times New Roman" w:cs="Times New Roman"/>
          <w:b/>
          <w:bCs/>
          <w:sz w:val="24"/>
          <w:szCs w:val="24"/>
        </w:rPr>
      </w:pPr>
      <w:r w:rsidRPr="009057C3">
        <w:rPr>
          <w:rFonts w:ascii="Times New Roman" w:hAnsi="Times New Roman" w:cs="Times New Roman"/>
          <w:b/>
          <w:bCs/>
          <w:sz w:val="24"/>
          <w:szCs w:val="24"/>
        </w:rPr>
        <w:lastRenderedPageBreak/>
        <w:t>Federal Government Account</w:t>
      </w:r>
      <w:r>
        <w:rPr>
          <w:rFonts w:ascii="Times New Roman" w:hAnsi="Times New Roman" w:cs="Times New Roman"/>
          <w:b/>
          <w:bCs/>
          <w:sz w:val="24"/>
          <w:szCs w:val="24"/>
        </w:rPr>
        <w:t>ing for</w:t>
      </w:r>
      <w:r w:rsidRPr="009057C3">
        <w:rPr>
          <w:rFonts w:ascii="Times New Roman" w:hAnsi="Times New Roman" w:cs="Times New Roman"/>
          <w:b/>
          <w:bCs/>
          <w:sz w:val="24"/>
          <w:szCs w:val="24"/>
        </w:rPr>
        <w:t xml:space="preserve"> Race or Gender in Awarding Federal Contracts</w:t>
      </w:r>
    </w:p>
    <w:p w14:paraId="64E4A295" w14:textId="77777777" w:rsidR="009057C3" w:rsidRDefault="008B1749" w:rsidP="009057C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A976F5">
        <w:rPr>
          <w:rFonts w:ascii="Times New Roman" w:hAnsi="Times New Roman" w:cs="Times New Roman"/>
          <w:sz w:val="24"/>
          <w:szCs w:val="24"/>
        </w:rPr>
        <w:t>The topic of race and gender has been at the top of societal issues by far long. It is not by accident that the same issues have a platform of negotiation when it comes to federal contracts. Generally, the topic being constitutionally represented, over the years there has been contradicting the judicial definition of how the two disadvantaged groups should be handled legally, without being offensive. In this essay, the focus will be to express a rational opinion based on existing constitution laws and judicial cases that challenge or support disadvantaged groups in awarding federal contracts.</w:t>
      </w:r>
    </w:p>
    <w:p w14:paraId="323E09B1" w14:textId="77777777" w:rsidR="00FF030E" w:rsidRDefault="008B1749" w:rsidP="009057C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Based on policies under Small Business Administration, most federal agencies should hire subcontractors from socially and economically disadvantaged group. This categorically includes gender lines especially intersexes and sometimes women, and the race aspects of having minorities as part of the society. However, the definition of disadvantaged groups along with gender and racial lines has faced </w:t>
      </w:r>
      <w:r w:rsidR="00D06743">
        <w:rPr>
          <w:rFonts w:ascii="Times New Roman" w:hAnsi="Times New Roman" w:cs="Times New Roman"/>
          <w:sz w:val="24"/>
          <w:szCs w:val="24"/>
        </w:rPr>
        <w:t>characterization</w:t>
      </w:r>
      <w:r>
        <w:rPr>
          <w:rFonts w:ascii="Times New Roman" w:hAnsi="Times New Roman" w:cs="Times New Roman"/>
          <w:sz w:val="24"/>
          <w:szCs w:val="24"/>
        </w:rPr>
        <w:t xml:space="preserve"> challenges of whether such categories violates the 5</w:t>
      </w:r>
      <w:r w:rsidRPr="00FF030E">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D06743">
        <w:rPr>
          <w:rFonts w:ascii="Times New Roman" w:hAnsi="Times New Roman" w:cs="Times New Roman"/>
          <w:sz w:val="24"/>
          <w:szCs w:val="24"/>
        </w:rPr>
        <w:t>and 14</w:t>
      </w:r>
      <w:r w:rsidR="00D06743" w:rsidRPr="00D06743">
        <w:rPr>
          <w:rFonts w:ascii="Times New Roman" w:hAnsi="Times New Roman" w:cs="Times New Roman"/>
          <w:sz w:val="24"/>
          <w:szCs w:val="24"/>
          <w:vertAlign w:val="superscript"/>
        </w:rPr>
        <w:t>th</w:t>
      </w:r>
      <w:r w:rsidR="00D06743">
        <w:rPr>
          <w:rFonts w:ascii="Times New Roman" w:hAnsi="Times New Roman" w:cs="Times New Roman"/>
          <w:sz w:val="24"/>
          <w:szCs w:val="24"/>
        </w:rPr>
        <w:t xml:space="preserve"> </w:t>
      </w:r>
      <w:r>
        <w:rPr>
          <w:rFonts w:ascii="Times New Roman" w:hAnsi="Times New Roman" w:cs="Times New Roman"/>
          <w:sz w:val="24"/>
          <w:szCs w:val="24"/>
        </w:rPr>
        <w:t>Amendment</w:t>
      </w:r>
      <w:r w:rsidR="00D06743">
        <w:rPr>
          <w:rFonts w:ascii="Times New Roman" w:hAnsi="Times New Roman" w:cs="Times New Roman"/>
          <w:sz w:val="24"/>
          <w:szCs w:val="24"/>
        </w:rPr>
        <w:t>s</w:t>
      </w:r>
      <w:r>
        <w:rPr>
          <w:rFonts w:ascii="Times New Roman" w:hAnsi="Times New Roman" w:cs="Times New Roman"/>
          <w:sz w:val="24"/>
          <w:szCs w:val="24"/>
        </w:rPr>
        <w:t xml:space="preserve"> when the groups are not established as registered entities of handling contracts. </w:t>
      </w:r>
    </w:p>
    <w:p w14:paraId="1106A3CB" w14:textId="43C50FB9" w:rsidR="00D06743" w:rsidRDefault="008B1749" w:rsidP="009057C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An example of a judicial case was </w:t>
      </w:r>
      <w:r w:rsidRPr="00FF030E">
        <w:rPr>
          <w:rFonts w:ascii="Times New Roman" w:hAnsi="Times New Roman" w:cs="Times New Roman"/>
          <w:sz w:val="24"/>
          <w:szCs w:val="24"/>
        </w:rPr>
        <w:t xml:space="preserve">Adarand Constructors, Inc. v. Pena </w:t>
      </w:r>
      <w:r>
        <w:rPr>
          <w:rFonts w:ascii="Times New Roman" w:hAnsi="Times New Roman" w:cs="Times New Roman"/>
          <w:sz w:val="24"/>
          <w:szCs w:val="24"/>
        </w:rPr>
        <w:t xml:space="preserve">(1995), where subcontractors were hired on the lines of SBA policies, while in </w:t>
      </w:r>
      <w:r w:rsidR="00D803E7">
        <w:rPr>
          <w:rFonts w:ascii="Times New Roman" w:hAnsi="Times New Roman" w:cs="Times New Roman"/>
          <w:sz w:val="24"/>
          <w:szCs w:val="24"/>
        </w:rPr>
        <w:t>fact;</w:t>
      </w:r>
      <w:r>
        <w:rPr>
          <w:rFonts w:ascii="Times New Roman" w:hAnsi="Times New Roman" w:cs="Times New Roman"/>
          <w:sz w:val="24"/>
          <w:szCs w:val="24"/>
        </w:rPr>
        <w:t xml:space="preserve"> they lacked certifications of handling contracts. The condition for hiring subcontractors involves prime contractors giving out incentives to the disadvantaged groups, which Adarand Constructors had already done. The argument presented seemed like a legally protected interest of people to hide under groups, sectioned by the constitution</w:t>
      </w:r>
      <w:r w:rsidR="00CF0753">
        <w:rPr>
          <w:rFonts w:ascii="Times New Roman" w:hAnsi="Times New Roman" w:cs="Times New Roman"/>
          <w:sz w:val="24"/>
          <w:szCs w:val="24"/>
        </w:rPr>
        <w:t>.</w:t>
      </w:r>
    </w:p>
    <w:p w14:paraId="46C66A14" w14:textId="664517FE" w:rsidR="00E014B0" w:rsidRDefault="008B1749" w:rsidP="009057C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From a rational perspective, Adarand Constructors had all the right to express the faulty lines of the constitution to get either clearance and, or justice. This is in support with the proposition addressed later that year from Metro Broadcasting that also had the quest of clarification in the Fifth and Fourteenth Amendment. The judicial conclusions, however, strongly hold the law of defining disadvantaged groups in both amendments, is liable to protect persons and not groups, while at the same time define standards for the law to apply, (</w:t>
      </w:r>
      <w:r w:rsidR="00CF0753" w:rsidRPr="00D513C6">
        <w:rPr>
          <w:rFonts w:ascii="Times New Roman" w:hAnsi="Times New Roman" w:cs="Times New Roman"/>
          <w:sz w:val="24"/>
          <w:szCs w:val="24"/>
        </w:rPr>
        <w:t>Adarand Constructors, Inc. v. Pena</w:t>
      </w:r>
      <w:r>
        <w:rPr>
          <w:rFonts w:ascii="Times New Roman" w:hAnsi="Times New Roman" w:cs="Times New Roman"/>
          <w:sz w:val="24"/>
          <w:szCs w:val="24"/>
        </w:rPr>
        <w:t>, 1995).</w:t>
      </w:r>
    </w:p>
    <w:p w14:paraId="44E0581C" w14:textId="77777777" w:rsidR="005B4F1B" w:rsidRDefault="008B1749" w:rsidP="00E014B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 a personal evaluation, I would support the ruling, simply because having race or gender as a group, defines persons regardless of your selfless or selfish acts on acquiring a federal contract. However, the subcontractors hired from such groups should be scrutinized for the sole benefit of fulfilling the law and legality. </w:t>
      </w:r>
    </w:p>
    <w:p w14:paraId="6DA0F1A7" w14:textId="649830E6" w:rsidR="005B4F1B" w:rsidRDefault="008B1749" w:rsidP="00D513C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Expounding the analogy position racial and gender lines, in 1964 there was a case between </w:t>
      </w:r>
      <w:r w:rsidRPr="005B4F1B">
        <w:rPr>
          <w:rFonts w:ascii="Times New Roman" w:hAnsi="Times New Roman" w:cs="Times New Roman"/>
          <w:sz w:val="24"/>
          <w:szCs w:val="24"/>
        </w:rPr>
        <w:t xml:space="preserve">Katzenbach v. McClung </w:t>
      </w:r>
      <w:r>
        <w:rPr>
          <w:rFonts w:ascii="Times New Roman" w:hAnsi="Times New Roman" w:cs="Times New Roman"/>
          <w:sz w:val="24"/>
          <w:szCs w:val="24"/>
        </w:rPr>
        <w:t>challenging racial discrimination definition in the Fourteenth Amendment. A restaurant in Alabama decided to cater to local white customers and have take-out services for the Negros. However, the court failed to establish the relation between food and racial lines, since the restaurant's racial decision was commerce-oriented, (</w:t>
      </w:r>
      <w:r w:rsidR="00CF0753" w:rsidRPr="005B4F1B">
        <w:rPr>
          <w:rFonts w:ascii="Times New Roman" w:hAnsi="Times New Roman" w:cs="Times New Roman"/>
          <w:sz w:val="24"/>
          <w:szCs w:val="24"/>
        </w:rPr>
        <w:t>Katzenbach v. McClung</w:t>
      </w:r>
      <w:r>
        <w:rPr>
          <w:rFonts w:ascii="Times New Roman" w:hAnsi="Times New Roman" w:cs="Times New Roman"/>
          <w:sz w:val="24"/>
          <w:szCs w:val="24"/>
        </w:rPr>
        <w:t>, 1964).</w:t>
      </w:r>
      <w:r w:rsidR="00D513C6">
        <w:rPr>
          <w:rFonts w:ascii="Times New Roman" w:hAnsi="Times New Roman" w:cs="Times New Roman"/>
          <w:sz w:val="24"/>
          <w:szCs w:val="24"/>
        </w:rPr>
        <w:t xml:space="preserve"> </w:t>
      </w:r>
      <w:r>
        <w:rPr>
          <w:rFonts w:ascii="Times New Roman" w:hAnsi="Times New Roman" w:cs="Times New Roman"/>
          <w:sz w:val="24"/>
          <w:szCs w:val="24"/>
        </w:rPr>
        <w:t>Similarly, the same year there was a motel case in Atlanta, which opted to decline accommodation offers from Negros</w:t>
      </w:r>
      <w:r w:rsidR="00D513C6">
        <w:rPr>
          <w:rFonts w:ascii="Times New Roman" w:hAnsi="Times New Roman" w:cs="Times New Roman"/>
          <w:sz w:val="24"/>
          <w:szCs w:val="24"/>
        </w:rPr>
        <w:t>. The case was also contested on commerce lines</w:t>
      </w:r>
      <w:r w:rsidR="00CF0753">
        <w:rPr>
          <w:rFonts w:ascii="Times New Roman" w:hAnsi="Times New Roman" w:cs="Times New Roman"/>
          <w:sz w:val="24"/>
          <w:szCs w:val="24"/>
        </w:rPr>
        <w:t>, (</w:t>
      </w:r>
      <w:r w:rsidR="00CF0753" w:rsidRPr="00EE3844">
        <w:rPr>
          <w:rFonts w:ascii="Times New Roman" w:hAnsi="Times New Roman" w:cs="Times New Roman"/>
          <w:sz w:val="24"/>
          <w:szCs w:val="24"/>
        </w:rPr>
        <w:t>Heart of Atlanta Motel, Inc. v. the United States</w:t>
      </w:r>
      <w:r w:rsidR="00CF0753">
        <w:rPr>
          <w:rFonts w:ascii="Times New Roman" w:hAnsi="Times New Roman" w:cs="Times New Roman"/>
          <w:sz w:val="24"/>
          <w:szCs w:val="24"/>
        </w:rPr>
        <w:t>, 1964)</w:t>
      </w:r>
    </w:p>
    <w:p w14:paraId="52637872" w14:textId="77777777" w:rsidR="00D06743" w:rsidRDefault="008B1749" w:rsidP="00E014B0">
      <w:pPr>
        <w:spacing w:after="0" w:line="480" w:lineRule="auto"/>
        <w:ind w:firstLine="720"/>
        <w:contextualSpacing/>
        <w:rPr>
          <w:rFonts w:ascii="Times New Roman" w:hAnsi="Times New Roman" w:cs="Times New Roman"/>
          <w:sz w:val="24"/>
          <w:szCs w:val="24"/>
        </w:rPr>
      </w:pPr>
      <w:r w:rsidRPr="005B4F1B">
        <w:rPr>
          <w:rFonts w:ascii="Times New Roman" w:hAnsi="Times New Roman" w:cs="Times New Roman"/>
          <w:sz w:val="24"/>
          <w:szCs w:val="24"/>
        </w:rPr>
        <w:t>Section 201(a) of</w:t>
      </w:r>
      <w:r>
        <w:rPr>
          <w:rFonts w:ascii="Times New Roman" w:hAnsi="Times New Roman" w:cs="Times New Roman"/>
          <w:sz w:val="24"/>
          <w:szCs w:val="24"/>
        </w:rPr>
        <w:t xml:space="preserve"> Title II, states that every person is entitled to </w:t>
      </w:r>
      <w:r w:rsidR="00D513C6">
        <w:rPr>
          <w:rFonts w:ascii="Times New Roman" w:hAnsi="Times New Roman" w:cs="Times New Roman"/>
          <w:sz w:val="24"/>
          <w:szCs w:val="24"/>
        </w:rPr>
        <w:t>public establishment regardless of color, religion, gender or national origin. The constitution definition of disadvantaged groups “affecting commerce” is not a solid argument against humanity whatsoever. As the interest of a country’s law would be to standardize its citizen, it is inappropriate to set barriers like commerce to justify discrimination. On the other hand, with the case of SBA, it is also advised for scrutiny to be prioritized in defending disadvantaged groups.</w:t>
      </w:r>
    </w:p>
    <w:p w14:paraId="4D109317" w14:textId="77777777" w:rsidR="00FF030E" w:rsidRDefault="008B1749" w:rsidP="00D513C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0FE7C5DB" w14:textId="4EA5C1D6" w:rsidR="00D513C6" w:rsidRDefault="008B1749" w:rsidP="00EE3844">
      <w:pPr>
        <w:spacing w:after="0" w:line="480" w:lineRule="auto"/>
        <w:ind w:left="720" w:hanging="720"/>
        <w:contextualSpacing/>
        <w:rPr>
          <w:rFonts w:ascii="Times New Roman" w:hAnsi="Times New Roman" w:cs="Times New Roman"/>
          <w:sz w:val="24"/>
          <w:szCs w:val="24"/>
        </w:rPr>
      </w:pPr>
      <w:r w:rsidRPr="00D513C6">
        <w:rPr>
          <w:rFonts w:ascii="Times New Roman" w:hAnsi="Times New Roman" w:cs="Times New Roman"/>
          <w:sz w:val="24"/>
          <w:szCs w:val="24"/>
        </w:rPr>
        <w:t>Adarand Constructors, Inc. v. Pena</w:t>
      </w:r>
      <w:r>
        <w:rPr>
          <w:rFonts w:ascii="Times New Roman" w:hAnsi="Times New Roman" w:cs="Times New Roman"/>
          <w:sz w:val="24"/>
          <w:szCs w:val="24"/>
        </w:rPr>
        <w:t>, 1995. Legal Information Institute</w:t>
      </w:r>
      <w:r w:rsidRPr="00D513C6">
        <w:rPr>
          <w:rFonts w:ascii="Times New Roman" w:hAnsi="Times New Roman" w:cs="Times New Roman"/>
          <w:sz w:val="24"/>
          <w:szCs w:val="24"/>
        </w:rPr>
        <w:t xml:space="preserve"> (No. 93-1841)</w:t>
      </w:r>
      <w:r>
        <w:rPr>
          <w:rFonts w:ascii="Times New Roman" w:hAnsi="Times New Roman" w:cs="Times New Roman"/>
          <w:sz w:val="24"/>
          <w:szCs w:val="24"/>
        </w:rPr>
        <w:t xml:space="preserve">. Retrieved from; </w:t>
      </w:r>
      <w:hyperlink r:id="rId7" w:history="1">
        <w:r w:rsidRPr="000F3EE7">
          <w:rPr>
            <w:rStyle w:val="Hyperlink"/>
            <w:rFonts w:ascii="Times New Roman" w:hAnsi="Times New Roman" w:cs="Times New Roman"/>
            <w:sz w:val="24"/>
            <w:szCs w:val="24"/>
          </w:rPr>
          <w:t>https://www.law.cornell.edu/supremecourt/text/515/200</w:t>
        </w:r>
      </w:hyperlink>
    </w:p>
    <w:p w14:paraId="499E16A2" w14:textId="079E9EF9" w:rsidR="00D513C6" w:rsidRDefault="008B1749" w:rsidP="00EE3844">
      <w:pPr>
        <w:spacing w:after="0" w:line="480" w:lineRule="auto"/>
        <w:ind w:left="720" w:hanging="720"/>
        <w:contextualSpacing/>
        <w:rPr>
          <w:rFonts w:ascii="Times New Roman" w:hAnsi="Times New Roman" w:cs="Times New Roman"/>
          <w:sz w:val="24"/>
          <w:szCs w:val="24"/>
        </w:rPr>
      </w:pPr>
      <w:r w:rsidRPr="00EE3844">
        <w:rPr>
          <w:rFonts w:ascii="Times New Roman" w:hAnsi="Times New Roman" w:cs="Times New Roman"/>
          <w:sz w:val="24"/>
          <w:szCs w:val="24"/>
        </w:rPr>
        <w:t>Katzenbach v. McClung</w:t>
      </w:r>
      <w:r>
        <w:rPr>
          <w:rFonts w:ascii="Times New Roman" w:hAnsi="Times New Roman" w:cs="Times New Roman"/>
          <w:sz w:val="24"/>
          <w:szCs w:val="24"/>
        </w:rPr>
        <w:t xml:space="preserve">, </w:t>
      </w:r>
      <w:r w:rsidR="00EE3844">
        <w:rPr>
          <w:rFonts w:ascii="Times New Roman" w:hAnsi="Times New Roman" w:cs="Times New Roman"/>
          <w:sz w:val="24"/>
          <w:szCs w:val="24"/>
        </w:rPr>
        <w:t xml:space="preserve">1964. </w:t>
      </w:r>
      <w:r>
        <w:rPr>
          <w:rFonts w:ascii="Times New Roman" w:hAnsi="Times New Roman" w:cs="Times New Roman"/>
          <w:sz w:val="24"/>
          <w:szCs w:val="24"/>
        </w:rPr>
        <w:t xml:space="preserve">Legal Information Institute </w:t>
      </w:r>
      <w:r w:rsidR="00EE3844" w:rsidRPr="00EE3844">
        <w:rPr>
          <w:rFonts w:ascii="Times New Roman" w:hAnsi="Times New Roman" w:cs="Times New Roman"/>
          <w:sz w:val="24"/>
          <w:szCs w:val="24"/>
        </w:rPr>
        <w:t>(No. 543)</w:t>
      </w:r>
      <w:r w:rsidR="00EE3844">
        <w:rPr>
          <w:rFonts w:ascii="Times New Roman" w:hAnsi="Times New Roman" w:cs="Times New Roman"/>
          <w:sz w:val="24"/>
          <w:szCs w:val="24"/>
        </w:rPr>
        <w:t xml:space="preserve">. Retrieved from; </w:t>
      </w:r>
      <w:hyperlink r:id="rId8" w:history="1">
        <w:r w:rsidR="00EE3844" w:rsidRPr="000F3EE7">
          <w:rPr>
            <w:rStyle w:val="Hyperlink"/>
            <w:rFonts w:ascii="Times New Roman" w:hAnsi="Times New Roman" w:cs="Times New Roman"/>
            <w:sz w:val="24"/>
            <w:szCs w:val="24"/>
          </w:rPr>
          <w:t>https://www.law.cornell.edu/supremecourt/text/379/294</w:t>
        </w:r>
      </w:hyperlink>
    </w:p>
    <w:p w14:paraId="50D727E8" w14:textId="26028472" w:rsidR="00EE3844" w:rsidRDefault="008B1749" w:rsidP="00EE3844">
      <w:pPr>
        <w:spacing w:after="0" w:line="480" w:lineRule="auto"/>
        <w:ind w:left="720" w:hanging="720"/>
        <w:contextualSpacing/>
        <w:rPr>
          <w:rFonts w:ascii="Times New Roman" w:hAnsi="Times New Roman" w:cs="Times New Roman"/>
          <w:sz w:val="24"/>
          <w:szCs w:val="24"/>
        </w:rPr>
      </w:pPr>
      <w:r w:rsidRPr="00EE3844">
        <w:rPr>
          <w:rFonts w:ascii="Times New Roman" w:hAnsi="Times New Roman" w:cs="Times New Roman"/>
          <w:sz w:val="24"/>
          <w:szCs w:val="24"/>
        </w:rPr>
        <w:t xml:space="preserve">Heart of Atlanta Motel, </w:t>
      </w:r>
      <w:bookmarkStart w:id="0" w:name="_GoBack"/>
      <w:bookmarkEnd w:id="0"/>
      <w:r w:rsidRPr="00EE3844">
        <w:rPr>
          <w:rFonts w:ascii="Times New Roman" w:hAnsi="Times New Roman" w:cs="Times New Roman"/>
          <w:sz w:val="24"/>
          <w:szCs w:val="24"/>
        </w:rPr>
        <w:t>Inc. v. the United States</w:t>
      </w:r>
      <w:r>
        <w:rPr>
          <w:rFonts w:ascii="Times New Roman" w:hAnsi="Times New Roman" w:cs="Times New Roman"/>
          <w:sz w:val="24"/>
          <w:szCs w:val="24"/>
        </w:rPr>
        <w:t xml:space="preserve">, 1964. Legal Information Institute </w:t>
      </w:r>
      <w:r w:rsidRPr="00EE3844">
        <w:rPr>
          <w:rFonts w:ascii="Times New Roman" w:hAnsi="Times New Roman" w:cs="Times New Roman"/>
          <w:sz w:val="24"/>
          <w:szCs w:val="24"/>
        </w:rPr>
        <w:t>(No. 515)</w:t>
      </w:r>
      <w:r>
        <w:rPr>
          <w:rFonts w:ascii="Times New Roman" w:hAnsi="Times New Roman" w:cs="Times New Roman"/>
          <w:sz w:val="24"/>
          <w:szCs w:val="24"/>
        </w:rPr>
        <w:t xml:space="preserve">. Retrieved from; </w:t>
      </w:r>
      <w:hyperlink r:id="rId9" w:history="1">
        <w:r w:rsidRPr="000F3EE7">
          <w:rPr>
            <w:rStyle w:val="Hyperlink"/>
            <w:rFonts w:ascii="Times New Roman" w:hAnsi="Times New Roman" w:cs="Times New Roman"/>
            <w:sz w:val="24"/>
            <w:szCs w:val="24"/>
          </w:rPr>
          <w:t>https://www.law.cornell.edu/supremecourt/text/379/241</w:t>
        </w:r>
      </w:hyperlink>
    </w:p>
    <w:p w14:paraId="6922CE10" w14:textId="77777777" w:rsidR="00EE3844" w:rsidRPr="00EE3844" w:rsidRDefault="00EE3844" w:rsidP="00EE3844">
      <w:pPr>
        <w:spacing w:after="0" w:line="480" w:lineRule="auto"/>
        <w:ind w:left="720" w:hanging="720"/>
        <w:contextualSpacing/>
        <w:rPr>
          <w:rFonts w:ascii="Times New Roman" w:hAnsi="Times New Roman" w:cs="Times New Roman"/>
          <w:sz w:val="24"/>
          <w:szCs w:val="24"/>
        </w:rPr>
      </w:pPr>
    </w:p>
    <w:p w14:paraId="77483365" w14:textId="77777777" w:rsidR="00EE3844" w:rsidRPr="00EE3844" w:rsidRDefault="00EE3844" w:rsidP="00EE3844">
      <w:pPr>
        <w:spacing w:after="0" w:line="480" w:lineRule="auto"/>
        <w:ind w:left="720" w:hanging="720"/>
        <w:contextualSpacing/>
        <w:rPr>
          <w:rFonts w:ascii="Times New Roman" w:hAnsi="Times New Roman" w:cs="Times New Roman"/>
          <w:sz w:val="24"/>
          <w:szCs w:val="24"/>
        </w:rPr>
      </w:pPr>
    </w:p>
    <w:sectPr w:rsidR="00EE3844" w:rsidRPr="00EE3844" w:rsidSect="009057C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35D86B" w14:textId="77777777" w:rsidR="003A406E" w:rsidRDefault="003A406E">
      <w:pPr>
        <w:spacing w:after="0" w:line="240" w:lineRule="auto"/>
      </w:pPr>
      <w:r>
        <w:separator/>
      </w:r>
    </w:p>
  </w:endnote>
  <w:endnote w:type="continuationSeparator" w:id="0">
    <w:p w14:paraId="5BB49803" w14:textId="77777777" w:rsidR="003A406E" w:rsidRDefault="003A4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29EBD3" w14:textId="77777777" w:rsidR="003A406E" w:rsidRDefault="003A406E">
      <w:pPr>
        <w:spacing w:after="0" w:line="240" w:lineRule="auto"/>
      </w:pPr>
      <w:r>
        <w:separator/>
      </w:r>
    </w:p>
  </w:footnote>
  <w:footnote w:type="continuationSeparator" w:id="0">
    <w:p w14:paraId="083EB67C" w14:textId="77777777" w:rsidR="003A406E" w:rsidRDefault="003A40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84D4E0" w14:textId="29024F5D" w:rsidR="009057C3" w:rsidRPr="009057C3" w:rsidRDefault="00D803E7">
    <w:pPr>
      <w:pStyle w:val="Header"/>
      <w:rPr>
        <w:rFonts w:ascii="Times New Roman" w:hAnsi="Times New Roman" w:cs="Times New Roman"/>
        <w:sz w:val="24"/>
        <w:szCs w:val="24"/>
      </w:rPr>
    </w:pPr>
    <w:r w:rsidRPr="009057C3">
      <w:rPr>
        <w:rFonts w:ascii="Times New Roman" w:hAnsi="Times New Roman" w:cs="Times New Roman"/>
        <w:sz w:val="24"/>
        <w:szCs w:val="24"/>
      </w:rPr>
      <w:t>RACE OR GENDER IN AWARDING FEDERAL CONTRACTS</w:t>
    </w:r>
    <w:r>
      <w:rPr>
        <w:rFonts w:ascii="Times New Roman" w:hAnsi="Times New Roman" w:cs="Times New Roman"/>
        <w:sz w:val="24"/>
        <w:szCs w:val="24"/>
      </w:rPr>
      <w:tab/>
    </w:r>
    <w:r w:rsidR="008B1749" w:rsidRPr="009057C3">
      <w:rPr>
        <w:rFonts w:ascii="Times New Roman" w:hAnsi="Times New Roman" w:cs="Times New Roman"/>
        <w:sz w:val="24"/>
        <w:szCs w:val="24"/>
      </w:rPr>
      <w:fldChar w:fldCharType="begin"/>
    </w:r>
    <w:r w:rsidR="008B1749" w:rsidRPr="009057C3">
      <w:rPr>
        <w:rFonts w:ascii="Times New Roman" w:hAnsi="Times New Roman" w:cs="Times New Roman"/>
        <w:sz w:val="24"/>
        <w:szCs w:val="24"/>
      </w:rPr>
      <w:instrText xml:space="preserve"> PAGE   \* MERGEFORMAT </w:instrText>
    </w:r>
    <w:r w:rsidR="008B1749" w:rsidRPr="009057C3">
      <w:rPr>
        <w:rFonts w:ascii="Times New Roman" w:hAnsi="Times New Roman" w:cs="Times New Roman"/>
        <w:sz w:val="24"/>
        <w:szCs w:val="24"/>
      </w:rPr>
      <w:fldChar w:fldCharType="separate"/>
    </w:r>
    <w:r>
      <w:rPr>
        <w:rFonts w:ascii="Times New Roman" w:hAnsi="Times New Roman" w:cs="Times New Roman"/>
        <w:noProof/>
        <w:sz w:val="24"/>
        <w:szCs w:val="24"/>
      </w:rPr>
      <w:t>2</w:t>
    </w:r>
    <w:r w:rsidR="008B1749" w:rsidRPr="009057C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BB10FE" w14:textId="77777777" w:rsidR="009057C3" w:rsidRPr="009057C3" w:rsidRDefault="008B1749">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9057C3">
      <w:rPr>
        <w:rFonts w:ascii="Times New Roman" w:hAnsi="Times New Roman" w:cs="Times New Roman"/>
        <w:sz w:val="24"/>
        <w:szCs w:val="24"/>
      </w:rPr>
      <w:t>RACE OR GENDER IN AWARDING FEDERAL CONTRACTS</w:t>
    </w:r>
    <w:r>
      <w:rPr>
        <w:rFonts w:ascii="Times New Roman" w:hAnsi="Times New Roman" w:cs="Times New Roman"/>
        <w:sz w:val="24"/>
        <w:szCs w:val="24"/>
      </w:rPr>
      <w:tab/>
    </w:r>
    <w:r w:rsidRPr="009057C3">
      <w:rPr>
        <w:rFonts w:ascii="Times New Roman" w:hAnsi="Times New Roman" w:cs="Times New Roman"/>
        <w:sz w:val="24"/>
        <w:szCs w:val="24"/>
      </w:rPr>
      <w:fldChar w:fldCharType="begin"/>
    </w:r>
    <w:r w:rsidRPr="009057C3">
      <w:rPr>
        <w:rFonts w:ascii="Times New Roman" w:hAnsi="Times New Roman" w:cs="Times New Roman"/>
        <w:sz w:val="24"/>
        <w:szCs w:val="24"/>
      </w:rPr>
      <w:instrText xml:space="preserve"> PAGE   \* MERGEFORMAT </w:instrText>
    </w:r>
    <w:r w:rsidRPr="009057C3">
      <w:rPr>
        <w:rFonts w:ascii="Times New Roman" w:hAnsi="Times New Roman" w:cs="Times New Roman"/>
        <w:sz w:val="24"/>
        <w:szCs w:val="24"/>
      </w:rPr>
      <w:fldChar w:fldCharType="separate"/>
    </w:r>
    <w:r w:rsidR="003A406E">
      <w:rPr>
        <w:rFonts w:ascii="Times New Roman" w:hAnsi="Times New Roman" w:cs="Times New Roman"/>
        <w:noProof/>
        <w:sz w:val="24"/>
        <w:szCs w:val="24"/>
      </w:rPr>
      <w:t>1</w:t>
    </w:r>
    <w:r w:rsidRPr="009057C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7C3"/>
    <w:rsid w:val="000F3EE7"/>
    <w:rsid w:val="00313E5E"/>
    <w:rsid w:val="003A406E"/>
    <w:rsid w:val="005B4F1B"/>
    <w:rsid w:val="006725D6"/>
    <w:rsid w:val="008B1749"/>
    <w:rsid w:val="009057C3"/>
    <w:rsid w:val="00A976F5"/>
    <w:rsid w:val="00B8399B"/>
    <w:rsid w:val="00CF0753"/>
    <w:rsid w:val="00D06743"/>
    <w:rsid w:val="00D513C6"/>
    <w:rsid w:val="00D803E7"/>
    <w:rsid w:val="00E014B0"/>
    <w:rsid w:val="00EE3844"/>
    <w:rsid w:val="00FF0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57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7C3"/>
  </w:style>
  <w:style w:type="paragraph" w:styleId="Footer">
    <w:name w:val="footer"/>
    <w:basedOn w:val="Normal"/>
    <w:link w:val="FooterChar"/>
    <w:uiPriority w:val="99"/>
    <w:unhideWhenUsed/>
    <w:rsid w:val="009057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7C3"/>
  </w:style>
  <w:style w:type="character" w:styleId="Hyperlink">
    <w:name w:val="Hyperlink"/>
    <w:basedOn w:val="DefaultParagraphFont"/>
    <w:uiPriority w:val="99"/>
    <w:unhideWhenUsed/>
    <w:rsid w:val="00D513C6"/>
    <w:rPr>
      <w:color w:val="0563C1" w:themeColor="hyperlink"/>
      <w:u w:val="single"/>
    </w:rPr>
  </w:style>
  <w:style w:type="character" w:customStyle="1" w:styleId="UnresolvedMention1">
    <w:name w:val="Unresolved Mention1"/>
    <w:basedOn w:val="DefaultParagraphFont"/>
    <w:uiPriority w:val="99"/>
    <w:semiHidden/>
    <w:unhideWhenUsed/>
    <w:rsid w:val="00D513C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57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7C3"/>
  </w:style>
  <w:style w:type="paragraph" w:styleId="Footer">
    <w:name w:val="footer"/>
    <w:basedOn w:val="Normal"/>
    <w:link w:val="FooterChar"/>
    <w:uiPriority w:val="99"/>
    <w:unhideWhenUsed/>
    <w:rsid w:val="009057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7C3"/>
  </w:style>
  <w:style w:type="character" w:styleId="Hyperlink">
    <w:name w:val="Hyperlink"/>
    <w:basedOn w:val="DefaultParagraphFont"/>
    <w:uiPriority w:val="99"/>
    <w:unhideWhenUsed/>
    <w:rsid w:val="00D513C6"/>
    <w:rPr>
      <w:color w:val="0563C1" w:themeColor="hyperlink"/>
      <w:u w:val="single"/>
    </w:rPr>
  </w:style>
  <w:style w:type="character" w:customStyle="1" w:styleId="UnresolvedMention1">
    <w:name w:val="Unresolved Mention1"/>
    <w:basedOn w:val="DefaultParagraphFont"/>
    <w:uiPriority w:val="99"/>
    <w:semiHidden/>
    <w:unhideWhenUsed/>
    <w:rsid w:val="00D513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cornell.edu/supremecourt/text/379/29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aw.cornell.edu/supremecourt/text/515/200"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law.cornell.edu/supremecourt/text/379/2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3993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2019-09-16T17:33:00Z</dcterms:created>
  <dcterms:modified xsi:type="dcterms:W3CDTF">2019-09-16T17:33:00Z</dcterms:modified>
</cp:coreProperties>
</file>