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546D" w:rsidRPr="00B47BD9" w:rsidRDefault="00EA546D" w:rsidP="00067BDD">
      <w:pPr>
        <w:spacing w:before="240" w:line="480" w:lineRule="auto"/>
        <w:jc w:val="center"/>
        <w:rPr>
          <w:rFonts w:ascii="Times New Roman" w:hAnsi="Times New Roman" w:cs="Times New Roman"/>
          <w:sz w:val="24"/>
          <w:szCs w:val="24"/>
        </w:rPr>
      </w:pPr>
    </w:p>
    <w:p w:rsidR="00EA546D" w:rsidRPr="00B47BD9" w:rsidRDefault="00EA546D" w:rsidP="00067BDD">
      <w:pPr>
        <w:spacing w:before="240" w:line="480" w:lineRule="auto"/>
        <w:jc w:val="center"/>
        <w:rPr>
          <w:rFonts w:ascii="Times New Roman" w:hAnsi="Times New Roman" w:cs="Times New Roman"/>
          <w:sz w:val="24"/>
          <w:szCs w:val="24"/>
        </w:rPr>
      </w:pPr>
    </w:p>
    <w:p w:rsidR="00EA546D" w:rsidRPr="00B47BD9" w:rsidRDefault="00EA546D" w:rsidP="00067BDD">
      <w:pPr>
        <w:spacing w:before="240" w:line="480" w:lineRule="auto"/>
        <w:jc w:val="center"/>
        <w:rPr>
          <w:rFonts w:ascii="Times New Roman" w:hAnsi="Times New Roman" w:cs="Times New Roman"/>
          <w:sz w:val="24"/>
          <w:szCs w:val="24"/>
        </w:rPr>
      </w:pPr>
    </w:p>
    <w:p w:rsidR="00EA546D" w:rsidRPr="00B47BD9" w:rsidRDefault="00EA546D" w:rsidP="00067BDD">
      <w:pPr>
        <w:spacing w:before="240" w:line="480" w:lineRule="auto"/>
        <w:jc w:val="center"/>
        <w:rPr>
          <w:rFonts w:ascii="Times New Roman" w:hAnsi="Times New Roman" w:cs="Times New Roman"/>
          <w:sz w:val="24"/>
          <w:szCs w:val="24"/>
        </w:rPr>
      </w:pPr>
    </w:p>
    <w:p w:rsidR="00EA546D" w:rsidRPr="00B47BD9" w:rsidRDefault="00EA546D" w:rsidP="00067BDD">
      <w:pPr>
        <w:spacing w:before="240" w:line="480" w:lineRule="auto"/>
        <w:jc w:val="center"/>
        <w:rPr>
          <w:rFonts w:ascii="Times New Roman" w:hAnsi="Times New Roman" w:cs="Times New Roman"/>
          <w:sz w:val="24"/>
          <w:szCs w:val="24"/>
        </w:rPr>
      </w:pPr>
    </w:p>
    <w:p w:rsidR="00EA546D" w:rsidRPr="00B47BD9" w:rsidRDefault="00EA546D" w:rsidP="00067BDD">
      <w:pPr>
        <w:spacing w:before="240" w:line="480" w:lineRule="auto"/>
        <w:jc w:val="center"/>
        <w:rPr>
          <w:rFonts w:ascii="Times New Roman" w:hAnsi="Times New Roman" w:cs="Times New Roman"/>
          <w:sz w:val="24"/>
          <w:szCs w:val="24"/>
        </w:rPr>
      </w:pPr>
    </w:p>
    <w:p w:rsidR="00EA546D" w:rsidRPr="00B47BD9" w:rsidRDefault="00EA546D" w:rsidP="00067BDD">
      <w:pPr>
        <w:spacing w:before="240" w:line="480" w:lineRule="auto"/>
        <w:jc w:val="center"/>
        <w:rPr>
          <w:rFonts w:ascii="Times New Roman" w:hAnsi="Times New Roman" w:cs="Times New Roman"/>
          <w:sz w:val="24"/>
          <w:szCs w:val="24"/>
        </w:rPr>
      </w:pPr>
    </w:p>
    <w:p w:rsidR="00EA546D" w:rsidRPr="00B47BD9" w:rsidRDefault="00EA546D" w:rsidP="00067BDD">
      <w:pPr>
        <w:spacing w:before="240" w:line="480" w:lineRule="auto"/>
        <w:jc w:val="center"/>
        <w:rPr>
          <w:rFonts w:ascii="Times New Roman" w:hAnsi="Times New Roman" w:cs="Times New Roman"/>
          <w:sz w:val="24"/>
          <w:szCs w:val="24"/>
        </w:rPr>
      </w:pPr>
    </w:p>
    <w:p w:rsidR="00EA546D" w:rsidRPr="00B47BD9" w:rsidRDefault="00EA546D" w:rsidP="00067BDD">
      <w:pPr>
        <w:spacing w:before="240" w:line="480" w:lineRule="auto"/>
        <w:jc w:val="center"/>
        <w:rPr>
          <w:rFonts w:ascii="Times New Roman" w:hAnsi="Times New Roman" w:cs="Times New Roman"/>
          <w:sz w:val="24"/>
          <w:szCs w:val="24"/>
        </w:rPr>
      </w:pPr>
      <w:r w:rsidRPr="00B47BD9">
        <w:rPr>
          <w:rFonts w:ascii="Times New Roman" w:hAnsi="Times New Roman" w:cs="Times New Roman"/>
          <w:sz w:val="24"/>
          <w:szCs w:val="24"/>
        </w:rPr>
        <w:t>Rationality, Emotion, and Criminal Behavior</w:t>
      </w:r>
    </w:p>
    <w:p w:rsidR="00EA546D" w:rsidRPr="00B47BD9" w:rsidRDefault="00EA546D" w:rsidP="00067BDD">
      <w:pPr>
        <w:spacing w:before="240" w:line="480" w:lineRule="auto"/>
        <w:jc w:val="center"/>
        <w:rPr>
          <w:rFonts w:ascii="Times New Roman" w:hAnsi="Times New Roman" w:cs="Times New Roman"/>
          <w:sz w:val="24"/>
          <w:szCs w:val="24"/>
        </w:rPr>
      </w:pPr>
      <w:r w:rsidRPr="00B47BD9">
        <w:rPr>
          <w:rFonts w:ascii="Times New Roman" w:hAnsi="Times New Roman" w:cs="Times New Roman"/>
          <w:sz w:val="24"/>
          <w:szCs w:val="24"/>
        </w:rPr>
        <w:t>Student’s Name</w:t>
      </w:r>
    </w:p>
    <w:p w:rsidR="00EA546D" w:rsidRPr="00B47BD9" w:rsidRDefault="00EA546D" w:rsidP="00067BDD">
      <w:pPr>
        <w:spacing w:before="240" w:line="480" w:lineRule="auto"/>
        <w:jc w:val="center"/>
        <w:rPr>
          <w:rFonts w:ascii="Times New Roman" w:hAnsi="Times New Roman" w:cs="Times New Roman"/>
          <w:sz w:val="24"/>
          <w:szCs w:val="24"/>
        </w:rPr>
      </w:pPr>
      <w:r w:rsidRPr="00B47BD9">
        <w:rPr>
          <w:rFonts w:ascii="Times New Roman" w:hAnsi="Times New Roman" w:cs="Times New Roman"/>
          <w:sz w:val="24"/>
          <w:szCs w:val="24"/>
        </w:rPr>
        <w:t>Institution Affiliation</w:t>
      </w:r>
    </w:p>
    <w:p w:rsidR="00EA546D" w:rsidRPr="00B47BD9" w:rsidRDefault="00EA546D" w:rsidP="00067BDD">
      <w:pPr>
        <w:spacing w:before="240" w:line="480" w:lineRule="auto"/>
        <w:rPr>
          <w:rFonts w:ascii="Times New Roman" w:hAnsi="Times New Roman" w:cs="Times New Roman"/>
          <w:sz w:val="24"/>
          <w:szCs w:val="24"/>
        </w:rPr>
      </w:pPr>
      <w:r w:rsidRPr="00B47BD9">
        <w:rPr>
          <w:rFonts w:ascii="Times New Roman" w:hAnsi="Times New Roman" w:cs="Times New Roman"/>
          <w:sz w:val="24"/>
          <w:szCs w:val="24"/>
        </w:rPr>
        <w:br w:type="page"/>
      </w:r>
    </w:p>
    <w:p w:rsidR="00EA546D" w:rsidRPr="00B47BD9" w:rsidRDefault="00EA546D" w:rsidP="00067BDD">
      <w:pPr>
        <w:spacing w:before="240" w:line="480" w:lineRule="auto"/>
        <w:jc w:val="center"/>
        <w:rPr>
          <w:rFonts w:ascii="Times New Roman" w:hAnsi="Times New Roman" w:cs="Times New Roman"/>
          <w:sz w:val="24"/>
          <w:szCs w:val="24"/>
        </w:rPr>
      </w:pPr>
      <w:r w:rsidRPr="00B47BD9">
        <w:rPr>
          <w:rFonts w:ascii="Times New Roman" w:hAnsi="Times New Roman" w:cs="Times New Roman"/>
          <w:sz w:val="24"/>
          <w:szCs w:val="24"/>
        </w:rPr>
        <w:lastRenderedPageBreak/>
        <w:t>Rationality, Emotion, and Criminal Behavior</w:t>
      </w:r>
    </w:p>
    <w:p w:rsidR="00D5536F" w:rsidRPr="00D5536F" w:rsidRDefault="00D5536F" w:rsidP="00D5536F">
      <w:pPr>
        <w:spacing w:before="240" w:line="480" w:lineRule="auto"/>
        <w:ind w:firstLine="720"/>
        <w:rPr>
          <w:rFonts w:ascii="Times New Roman" w:hAnsi="Times New Roman" w:cs="Times New Roman"/>
          <w:sz w:val="24"/>
          <w:szCs w:val="24"/>
        </w:rPr>
      </w:pPr>
      <w:r w:rsidRPr="00D5536F">
        <w:rPr>
          <w:rFonts w:ascii="Times New Roman" w:hAnsi="Times New Roman" w:cs="Times New Roman"/>
          <w:sz w:val="24"/>
          <w:szCs w:val="24"/>
        </w:rPr>
        <w:t xml:space="preserve">Crime is considered as a rational choice, and as such, the local government, Home Office, and police departments use the rational choice theory in particular when laying down policies on the prevention of crime. The rational choice theory was first incorporated in the Economic and Political Science departments but later applied in crime with the objective of crime prevention as opposed to the deeper social, political, and causes of crime. Cultural criminologists have raised questions on the criminological approach that emphasizes the nature of the crime and irrational elements of the crime against the measured decision-making model measured by the rational choice theory. The rational choice theory starts from the notion that people are self-interested and rational. So about criminal activity, it argues that people seek to maximize their revenues so they may choose crime or work depending on their potential for success in the labor market. The research shall focus on whether criminals are rational decision makers considering that the rate of crime is affected by economic conditions, as well as the role of vocation education and training of gang members on the rate of gang-related crime. </w:t>
      </w:r>
    </w:p>
    <w:p w:rsidR="00D5536F" w:rsidRPr="00D5536F" w:rsidRDefault="00D5536F" w:rsidP="00D5536F">
      <w:pPr>
        <w:spacing w:before="240" w:line="480" w:lineRule="auto"/>
        <w:ind w:firstLine="720"/>
        <w:rPr>
          <w:rFonts w:ascii="Times New Roman" w:hAnsi="Times New Roman" w:cs="Times New Roman"/>
          <w:sz w:val="24"/>
          <w:szCs w:val="24"/>
        </w:rPr>
      </w:pPr>
      <w:r w:rsidRPr="00D5536F">
        <w:rPr>
          <w:rFonts w:ascii="Times New Roman" w:hAnsi="Times New Roman" w:cs="Times New Roman"/>
          <w:sz w:val="24"/>
          <w:szCs w:val="24"/>
        </w:rPr>
        <w:t xml:space="preserve">In the context of crime, the rational choice theory dictates that criminals are self-interested and rational. It argues that individuals may choose between crime and work depending on their probability of success in the job market. The people also take into account the element of getting caught should they choose to indulge in crime (Simpson, &amp; Paternoster, 2017). As such they pay attention to where they decide to commit crime because the location has an impact on the probability of getting detected. The behavior of criminals tends to be informed by an assessment of the marginal returns of acts of crime, taking into account the likely punishment (Choy, </w:t>
      </w:r>
      <w:proofErr w:type="spellStart"/>
      <w:r w:rsidRPr="00D5536F">
        <w:rPr>
          <w:rFonts w:ascii="Times New Roman" w:hAnsi="Times New Roman" w:cs="Times New Roman"/>
          <w:sz w:val="24"/>
          <w:szCs w:val="24"/>
        </w:rPr>
        <w:t>Raine</w:t>
      </w:r>
      <w:proofErr w:type="spellEnd"/>
      <w:r w:rsidRPr="00D5536F">
        <w:rPr>
          <w:rFonts w:ascii="Times New Roman" w:hAnsi="Times New Roman" w:cs="Times New Roman"/>
          <w:sz w:val="24"/>
          <w:szCs w:val="24"/>
        </w:rPr>
        <w:t xml:space="preserve">, </w:t>
      </w:r>
      <w:proofErr w:type="spellStart"/>
      <w:r w:rsidRPr="00D5536F">
        <w:rPr>
          <w:rFonts w:ascii="Times New Roman" w:hAnsi="Times New Roman" w:cs="Times New Roman"/>
          <w:sz w:val="24"/>
          <w:szCs w:val="24"/>
        </w:rPr>
        <w:t>Venables</w:t>
      </w:r>
      <w:proofErr w:type="spellEnd"/>
      <w:r w:rsidRPr="00D5536F">
        <w:rPr>
          <w:rFonts w:ascii="Times New Roman" w:hAnsi="Times New Roman" w:cs="Times New Roman"/>
          <w:sz w:val="24"/>
          <w:szCs w:val="24"/>
        </w:rPr>
        <w:t xml:space="preserve">, &amp; Farrington, 2017). The line of thinking leads us to the conclusion that </w:t>
      </w:r>
      <w:r w:rsidRPr="00D5536F">
        <w:rPr>
          <w:rFonts w:ascii="Times New Roman" w:hAnsi="Times New Roman" w:cs="Times New Roman"/>
          <w:sz w:val="24"/>
          <w:szCs w:val="24"/>
        </w:rPr>
        <w:lastRenderedPageBreak/>
        <w:t xml:space="preserve">it would tend to be more plausible when taken in the context of premeditated crimes and less applicable to spontaneous crimes. </w:t>
      </w:r>
    </w:p>
    <w:p w:rsidR="00D5536F" w:rsidRPr="00D5536F" w:rsidRDefault="00D5536F" w:rsidP="00D5536F">
      <w:pPr>
        <w:spacing w:before="240" w:line="480" w:lineRule="auto"/>
        <w:ind w:firstLine="720"/>
        <w:rPr>
          <w:rFonts w:ascii="Times New Roman" w:hAnsi="Times New Roman" w:cs="Times New Roman"/>
          <w:sz w:val="24"/>
          <w:szCs w:val="24"/>
        </w:rPr>
      </w:pPr>
      <w:r w:rsidRPr="00D5536F">
        <w:rPr>
          <w:rFonts w:ascii="Times New Roman" w:hAnsi="Times New Roman" w:cs="Times New Roman"/>
          <w:sz w:val="24"/>
          <w:szCs w:val="24"/>
        </w:rPr>
        <w:t xml:space="preserve">The rational decision-making framework states that behavior is informed in part by considering the costs Vis a Vis the gains from the criminal act. Classic illustrations of the deterrence doctrine predict that swift, certain, and harsh penalties from the formal structures of social control introduce costs that will prevent future criminal behavior. Also, formal measures of social control tend to spark concurrent informal sanctions from friends and family that eventually lead to deterrence eventually (Choy, </w:t>
      </w:r>
      <w:proofErr w:type="spellStart"/>
      <w:r w:rsidRPr="00D5536F">
        <w:rPr>
          <w:rFonts w:ascii="Times New Roman" w:hAnsi="Times New Roman" w:cs="Times New Roman"/>
          <w:sz w:val="24"/>
          <w:szCs w:val="24"/>
        </w:rPr>
        <w:t>Raine</w:t>
      </w:r>
      <w:proofErr w:type="spellEnd"/>
      <w:r w:rsidRPr="00D5536F">
        <w:rPr>
          <w:rFonts w:ascii="Times New Roman" w:hAnsi="Times New Roman" w:cs="Times New Roman"/>
          <w:sz w:val="24"/>
          <w:szCs w:val="24"/>
        </w:rPr>
        <w:t xml:space="preserve">, </w:t>
      </w:r>
      <w:proofErr w:type="spellStart"/>
      <w:r w:rsidRPr="00D5536F">
        <w:rPr>
          <w:rFonts w:ascii="Times New Roman" w:hAnsi="Times New Roman" w:cs="Times New Roman"/>
          <w:sz w:val="24"/>
          <w:szCs w:val="24"/>
        </w:rPr>
        <w:t>Venables</w:t>
      </w:r>
      <w:proofErr w:type="spellEnd"/>
      <w:r w:rsidRPr="00D5536F">
        <w:rPr>
          <w:rFonts w:ascii="Times New Roman" w:hAnsi="Times New Roman" w:cs="Times New Roman"/>
          <w:sz w:val="24"/>
          <w:szCs w:val="24"/>
        </w:rPr>
        <w:t xml:space="preserve">, &amp; Farrington, 2017). The costs include domains such as legal, social, and personal expenses of offending. People may seek and value social status and personal benefits from engagement in crime. For instance, some value the excitement that is associated with defiance of legal or social systems and take pride in the deference, status, and recognition from peers that comes with a crime. </w:t>
      </w:r>
    </w:p>
    <w:p w:rsidR="00D5536F" w:rsidRPr="00D5536F" w:rsidRDefault="00D5536F" w:rsidP="00D5536F">
      <w:pPr>
        <w:spacing w:before="240" w:line="480" w:lineRule="auto"/>
        <w:ind w:firstLine="720"/>
        <w:rPr>
          <w:rFonts w:ascii="Times New Roman" w:hAnsi="Times New Roman" w:cs="Times New Roman"/>
          <w:sz w:val="24"/>
          <w:szCs w:val="24"/>
        </w:rPr>
      </w:pPr>
      <w:r w:rsidRPr="00D5536F">
        <w:rPr>
          <w:rFonts w:ascii="Times New Roman" w:hAnsi="Times New Roman" w:cs="Times New Roman"/>
          <w:sz w:val="24"/>
          <w:szCs w:val="24"/>
        </w:rPr>
        <w:t xml:space="preserve">Most of the study on responding to rational choice or deterrence has been done using high school and college students, as well as samples of adults in the community as the primary sample. The studies indicate that the inevitability of sanctions in control systems is a minor, but a highly significant factor to deterrent of minor forms of crime (Simpson, &amp; Paternoster, 2017). Moreover, criminals indicate sensitivity to the benefits that arise from criminal behavior in such a manner that the perceived excitement that is associated with crime plays the role of increasing the probability of crime over and above the threats to sanctions. </w:t>
      </w:r>
    </w:p>
    <w:p w:rsidR="00D5536F" w:rsidRPr="00D5536F" w:rsidRDefault="00D5536F" w:rsidP="00D5536F">
      <w:pPr>
        <w:spacing w:before="240" w:line="480" w:lineRule="auto"/>
        <w:ind w:firstLine="720"/>
        <w:rPr>
          <w:rFonts w:ascii="Times New Roman" w:hAnsi="Times New Roman" w:cs="Times New Roman"/>
          <w:sz w:val="24"/>
          <w:szCs w:val="24"/>
        </w:rPr>
      </w:pPr>
      <w:r w:rsidRPr="00D5536F">
        <w:rPr>
          <w:rFonts w:ascii="Times New Roman" w:hAnsi="Times New Roman" w:cs="Times New Roman"/>
          <w:sz w:val="24"/>
          <w:szCs w:val="24"/>
        </w:rPr>
        <w:t xml:space="preserve">Concurrently, several studies among the high-risk juvenile as well as adult offenders including the incarcerated and active offenders have also been done. In as much as others may suggest that the use of a sample that is offender-based can provide very little in the complete </w:t>
      </w:r>
      <w:r w:rsidRPr="00D5536F">
        <w:rPr>
          <w:rFonts w:ascii="Times New Roman" w:hAnsi="Times New Roman" w:cs="Times New Roman"/>
          <w:sz w:val="24"/>
          <w:szCs w:val="24"/>
        </w:rPr>
        <w:lastRenderedPageBreak/>
        <w:t xml:space="preserve">comprehension of criminal behavior, results from the studies fail to prove the importance of sanction threats in ensuring deterrence among criminals. For instance, among active criminals sampled in the community, deterrent factors, particularly in the certainty domain, serve as significant determinants of crime. Criminals pay keen attention to the probability of detection which prompts them to choose the targets they perceive to be easier as well as the potential rewards from the act (Paternoster, Bachman, </w:t>
      </w:r>
      <w:proofErr w:type="spellStart"/>
      <w:r w:rsidRPr="00D5536F">
        <w:rPr>
          <w:rFonts w:ascii="Times New Roman" w:hAnsi="Times New Roman" w:cs="Times New Roman"/>
          <w:sz w:val="24"/>
          <w:szCs w:val="24"/>
        </w:rPr>
        <w:t>Bushway</w:t>
      </w:r>
      <w:proofErr w:type="spellEnd"/>
      <w:r w:rsidRPr="00D5536F">
        <w:rPr>
          <w:rFonts w:ascii="Times New Roman" w:hAnsi="Times New Roman" w:cs="Times New Roman"/>
          <w:sz w:val="24"/>
          <w:szCs w:val="24"/>
        </w:rPr>
        <w:t xml:space="preserve">, </w:t>
      </w:r>
      <w:proofErr w:type="spellStart"/>
      <w:r w:rsidRPr="00D5536F">
        <w:rPr>
          <w:rFonts w:ascii="Times New Roman" w:hAnsi="Times New Roman" w:cs="Times New Roman"/>
          <w:sz w:val="24"/>
          <w:szCs w:val="24"/>
        </w:rPr>
        <w:t>Kerrison</w:t>
      </w:r>
      <w:proofErr w:type="spellEnd"/>
      <w:r w:rsidRPr="00D5536F">
        <w:rPr>
          <w:rFonts w:ascii="Times New Roman" w:hAnsi="Times New Roman" w:cs="Times New Roman"/>
          <w:sz w:val="24"/>
          <w:szCs w:val="24"/>
        </w:rPr>
        <w:t xml:space="preserve">, &amp; O’Connell, 2015). </w:t>
      </w:r>
    </w:p>
    <w:p w:rsidR="00D5536F" w:rsidRPr="00D5536F" w:rsidRDefault="00D5536F" w:rsidP="00D5536F">
      <w:pPr>
        <w:spacing w:before="240" w:line="480" w:lineRule="auto"/>
        <w:ind w:firstLine="720"/>
        <w:rPr>
          <w:rFonts w:ascii="Times New Roman" w:hAnsi="Times New Roman" w:cs="Times New Roman"/>
          <w:sz w:val="24"/>
          <w:szCs w:val="24"/>
        </w:rPr>
      </w:pPr>
      <w:r w:rsidRPr="00D5536F">
        <w:rPr>
          <w:rFonts w:ascii="Times New Roman" w:hAnsi="Times New Roman" w:cs="Times New Roman"/>
          <w:sz w:val="24"/>
          <w:szCs w:val="24"/>
        </w:rPr>
        <w:t xml:space="preserve">Nonetheless, there are some factors that affect sensitivity to sanction threats among active adolescent or adult offenders. First, immaturity among adolescents may reduce their comprehension of the risks involved as well as their assessment of the results of criminal behavior. Second, they may deliberately dismiss the sanction threats that are oriented towards the future as opposed to the present. Next, the spatial attention of serious crime among the youths in neighborhoods that are disadvantaged may reduce the perceived punishment costs while overestimating the social benefits of status as well as material gains (Choy, </w:t>
      </w:r>
      <w:proofErr w:type="spellStart"/>
      <w:r w:rsidRPr="00D5536F">
        <w:rPr>
          <w:rFonts w:ascii="Times New Roman" w:hAnsi="Times New Roman" w:cs="Times New Roman"/>
          <w:sz w:val="24"/>
          <w:szCs w:val="24"/>
        </w:rPr>
        <w:t>Raine</w:t>
      </w:r>
      <w:proofErr w:type="spellEnd"/>
      <w:r w:rsidRPr="00D5536F">
        <w:rPr>
          <w:rFonts w:ascii="Times New Roman" w:hAnsi="Times New Roman" w:cs="Times New Roman"/>
          <w:sz w:val="24"/>
          <w:szCs w:val="24"/>
        </w:rPr>
        <w:t xml:space="preserve">, </w:t>
      </w:r>
      <w:proofErr w:type="spellStart"/>
      <w:r w:rsidRPr="00D5536F">
        <w:rPr>
          <w:rFonts w:ascii="Times New Roman" w:hAnsi="Times New Roman" w:cs="Times New Roman"/>
          <w:sz w:val="24"/>
          <w:szCs w:val="24"/>
        </w:rPr>
        <w:t>Venables</w:t>
      </w:r>
      <w:proofErr w:type="spellEnd"/>
      <w:r w:rsidRPr="00D5536F">
        <w:rPr>
          <w:rFonts w:ascii="Times New Roman" w:hAnsi="Times New Roman" w:cs="Times New Roman"/>
          <w:sz w:val="24"/>
          <w:szCs w:val="24"/>
        </w:rPr>
        <w:t xml:space="preserve">, &amp; Farrington, 2017). The neighborhoods that record high rates of unemployment, lower wages, as well as reduced human capital are economic barriers that influence how offenders assess the gains from criminal behavior. Appropriately, if punishment is discounted by impressions that compliance may not reward then the motives to stay away from crime are compromised. Lastly, the contingent impact of sanction threats may be minimized by the high rates of penalties in specific neighborhoods (Hayward, 2007). The costs of stigma are reduced because it is its contingent likelihood when teenagers who would otherwise be offenders regard sanctions as widespread, inevitable, and not stochastically connected to the crime. </w:t>
      </w:r>
    </w:p>
    <w:p w:rsidR="00D5536F" w:rsidRPr="00D5536F" w:rsidRDefault="00D5536F" w:rsidP="00D5536F">
      <w:pPr>
        <w:spacing w:before="240" w:line="480" w:lineRule="auto"/>
        <w:ind w:firstLine="720"/>
        <w:rPr>
          <w:rFonts w:ascii="Times New Roman" w:hAnsi="Times New Roman" w:cs="Times New Roman"/>
          <w:sz w:val="24"/>
          <w:szCs w:val="24"/>
        </w:rPr>
      </w:pPr>
      <w:r w:rsidRPr="00D5536F">
        <w:rPr>
          <w:rFonts w:ascii="Times New Roman" w:hAnsi="Times New Roman" w:cs="Times New Roman"/>
          <w:sz w:val="24"/>
          <w:szCs w:val="24"/>
        </w:rPr>
        <w:t xml:space="preserve">In addition to rational discounting, the assumptions highlighted in most of the frameworks for deterrence tend to be challenged by the co-morbidity of mental concerns as well </w:t>
      </w:r>
      <w:r w:rsidRPr="00D5536F">
        <w:rPr>
          <w:rFonts w:ascii="Times New Roman" w:hAnsi="Times New Roman" w:cs="Times New Roman"/>
          <w:sz w:val="24"/>
          <w:szCs w:val="24"/>
        </w:rPr>
        <w:lastRenderedPageBreak/>
        <w:t xml:space="preserve">as dependence to drugs among the active criminals (Brookman, 2015). The two conditions tend to impair the rational assessment of reward and risk and provide incentives that may cover the consequence of criminal activity on a narrow model of decision making on risk-reward. For instance, the motivation for aggression is connected to the psychoactive impacts of involvement in drugs as well as drug-related violence. The threats that are irrationally perceived among the mentally impaired tend to override the internal controls that are meant to provide aggression (Hayward, 2007). </w:t>
      </w:r>
    </w:p>
    <w:p w:rsidR="00D5536F" w:rsidRPr="00D5536F" w:rsidRDefault="00D5536F" w:rsidP="00D5536F">
      <w:pPr>
        <w:spacing w:before="240" w:line="480" w:lineRule="auto"/>
        <w:ind w:firstLine="720"/>
        <w:rPr>
          <w:rFonts w:ascii="Times New Roman" w:hAnsi="Times New Roman" w:cs="Times New Roman"/>
          <w:sz w:val="24"/>
          <w:szCs w:val="24"/>
        </w:rPr>
      </w:pPr>
      <w:r w:rsidRPr="00D5536F">
        <w:rPr>
          <w:rFonts w:ascii="Times New Roman" w:hAnsi="Times New Roman" w:cs="Times New Roman"/>
          <w:sz w:val="24"/>
          <w:szCs w:val="24"/>
        </w:rPr>
        <w:t xml:space="preserve">Even in the absence of mental illness, strong emotional reactions tend to outdo control as well as reasoning in the violent relations between young adults and adolescents in high-crime neighborhoods. Emotional and cognitive factors have been proved to have a strong impact on rational decision making (Hayward, 2007). Particularly, severe psychiatric disorder of moods as well as organic brain damage affect the criteria that are decision relevant that entail understanding, processing, and expression, and a shift from rationality towards an approach that places emphasis on emotional and cognitive effects on arriving at decisions provides a broader criteria for decision making (Moeller, Copes, &amp; Hochstetler, 2016). </w:t>
      </w:r>
    </w:p>
    <w:p w:rsidR="00D5536F" w:rsidRPr="00D5536F" w:rsidRDefault="00D5536F" w:rsidP="00D5536F">
      <w:pPr>
        <w:spacing w:before="240" w:line="480" w:lineRule="auto"/>
        <w:jc w:val="center"/>
        <w:rPr>
          <w:rFonts w:ascii="Times New Roman" w:hAnsi="Times New Roman" w:cs="Times New Roman"/>
          <w:b/>
          <w:sz w:val="24"/>
          <w:szCs w:val="24"/>
        </w:rPr>
      </w:pPr>
      <w:r w:rsidRPr="00D5536F">
        <w:rPr>
          <w:rFonts w:ascii="Times New Roman" w:hAnsi="Times New Roman" w:cs="Times New Roman"/>
          <w:b/>
          <w:sz w:val="24"/>
          <w:szCs w:val="24"/>
        </w:rPr>
        <w:t>Control Strategies for Gang-Related Crime</w:t>
      </w:r>
    </w:p>
    <w:p w:rsidR="00D5536F" w:rsidRPr="00D5536F" w:rsidRDefault="00D5536F" w:rsidP="00D5536F">
      <w:pPr>
        <w:spacing w:before="240" w:line="480" w:lineRule="auto"/>
        <w:ind w:firstLine="720"/>
        <w:rPr>
          <w:rFonts w:ascii="Times New Roman" w:hAnsi="Times New Roman" w:cs="Times New Roman"/>
          <w:sz w:val="24"/>
          <w:szCs w:val="24"/>
        </w:rPr>
      </w:pPr>
      <w:r w:rsidRPr="00D5536F">
        <w:rPr>
          <w:rFonts w:ascii="Times New Roman" w:hAnsi="Times New Roman" w:cs="Times New Roman"/>
          <w:sz w:val="24"/>
          <w:szCs w:val="24"/>
        </w:rPr>
        <w:t xml:space="preserve">Control strategies towards the provision of gang-related crime should start from the home, schools, and at the community at large. Parents should receive training on how to spot association to gangs as well as how they can provide economic, vocational training and educating their children to empower them thereby making gangs to be less glamorous (Hayward, 2007). It is vital for children to be taught the consequences of joining gangs including criminal records and jail terms ultimately. Parents also require support in responding to children who are </w:t>
      </w:r>
      <w:r w:rsidRPr="00D5536F">
        <w:rPr>
          <w:rFonts w:ascii="Times New Roman" w:hAnsi="Times New Roman" w:cs="Times New Roman"/>
          <w:sz w:val="24"/>
          <w:szCs w:val="24"/>
        </w:rPr>
        <w:lastRenderedPageBreak/>
        <w:t>at risk of joining gangs. Educating parents on gangs is essential in the control of the growth of gangs as such educators and law enforcers ought to work together to develop the appropriate tools and resources for educating parents (</w:t>
      </w:r>
      <w:proofErr w:type="spellStart"/>
      <w:r w:rsidRPr="00D5536F">
        <w:rPr>
          <w:rFonts w:ascii="Times New Roman" w:hAnsi="Times New Roman" w:cs="Times New Roman"/>
          <w:sz w:val="24"/>
          <w:szCs w:val="24"/>
        </w:rPr>
        <w:t>Hirschi</w:t>
      </w:r>
      <w:proofErr w:type="spellEnd"/>
      <w:r w:rsidRPr="00D5536F">
        <w:rPr>
          <w:rFonts w:ascii="Times New Roman" w:hAnsi="Times New Roman" w:cs="Times New Roman"/>
          <w:sz w:val="24"/>
          <w:szCs w:val="24"/>
        </w:rPr>
        <w:t xml:space="preserve">, 2017). </w:t>
      </w:r>
    </w:p>
    <w:p w:rsidR="00D5536F" w:rsidRPr="00D5536F" w:rsidRDefault="00D5536F" w:rsidP="00D5536F">
      <w:pPr>
        <w:spacing w:before="240" w:line="480" w:lineRule="auto"/>
        <w:ind w:firstLine="720"/>
        <w:rPr>
          <w:rFonts w:ascii="Times New Roman" w:hAnsi="Times New Roman" w:cs="Times New Roman"/>
          <w:sz w:val="24"/>
          <w:szCs w:val="24"/>
        </w:rPr>
      </w:pPr>
      <w:r w:rsidRPr="00D5536F">
        <w:rPr>
          <w:rFonts w:ascii="Times New Roman" w:hAnsi="Times New Roman" w:cs="Times New Roman"/>
          <w:sz w:val="24"/>
          <w:szCs w:val="24"/>
        </w:rPr>
        <w:t xml:space="preserve">Schools in California have taken an active role in the prevention of gangs for many years. To manage gang-related challenges, programs in schools place their focus on establishing members of gangs, elimination of graffiti, mediating potential conflicts among members of gangs, as well as offering parents with relevant information on the participation of their children on gangs. Most schools have introduced a dress code that seeks to curb wearing of gang colors in schools (Choy, </w:t>
      </w:r>
      <w:proofErr w:type="spellStart"/>
      <w:r w:rsidRPr="00D5536F">
        <w:rPr>
          <w:rFonts w:ascii="Times New Roman" w:hAnsi="Times New Roman" w:cs="Times New Roman"/>
          <w:sz w:val="24"/>
          <w:szCs w:val="24"/>
        </w:rPr>
        <w:t>Raine</w:t>
      </w:r>
      <w:proofErr w:type="spellEnd"/>
      <w:r w:rsidRPr="00D5536F">
        <w:rPr>
          <w:rFonts w:ascii="Times New Roman" w:hAnsi="Times New Roman" w:cs="Times New Roman"/>
          <w:sz w:val="24"/>
          <w:szCs w:val="24"/>
        </w:rPr>
        <w:t xml:space="preserve">, </w:t>
      </w:r>
      <w:proofErr w:type="spellStart"/>
      <w:r w:rsidRPr="00D5536F">
        <w:rPr>
          <w:rFonts w:ascii="Times New Roman" w:hAnsi="Times New Roman" w:cs="Times New Roman"/>
          <w:sz w:val="24"/>
          <w:szCs w:val="24"/>
        </w:rPr>
        <w:t>Venables</w:t>
      </w:r>
      <w:proofErr w:type="spellEnd"/>
      <w:r w:rsidRPr="00D5536F">
        <w:rPr>
          <w:rFonts w:ascii="Times New Roman" w:hAnsi="Times New Roman" w:cs="Times New Roman"/>
          <w:sz w:val="24"/>
          <w:szCs w:val="24"/>
        </w:rPr>
        <w:t xml:space="preserve">, &amp; Farrington, 2017). Schools have also expanded security and closed some campuses to restrict recruitment of students by gangs. In some cases, schools have introduced metal detectors to screen weapons during after-school sporting events and at outdoor stadiums (Paternoster, Bachman, </w:t>
      </w:r>
      <w:proofErr w:type="spellStart"/>
      <w:r w:rsidRPr="00D5536F">
        <w:rPr>
          <w:rFonts w:ascii="Times New Roman" w:hAnsi="Times New Roman" w:cs="Times New Roman"/>
          <w:sz w:val="24"/>
          <w:szCs w:val="24"/>
        </w:rPr>
        <w:t>Bushway</w:t>
      </w:r>
      <w:proofErr w:type="spellEnd"/>
      <w:r w:rsidRPr="00D5536F">
        <w:rPr>
          <w:rFonts w:ascii="Times New Roman" w:hAnsi="Times New Roman" w:cs="Times New Roman"/>
          <w:sz w:val="24"/>
          <w:szCs w:val="24"/>
        </w:rPr>
        <w:t xml:space="preserve">, </w:t>
      </w:r>
      <w:proofErr w:type="spellStart"/>
      <w:r w:rsidRPr="00D5536F">
        <w:rPr>
          <w:rFonts w:ascii="Times New Roman" w:hAnsi="Times New Roman" w:cs="Times New Roman"/>
          <w:sz w:val="24"/>
          <w:szCs w:val="24"/>
        </w:rPr>
        <w:t>Kerrison</w:t>
      </w:r>
      <w:proofErr w:type="spellEnd"/>
      <w:r w:rsidRPr="00D5536F">
        <w:rPr>
          <w:rFonts w:ascii="Times New Roman" w:hAnsi="Times New Roman" w:cs="Times New Roman"/>
          <w:sz w:val="24"/>
          <w:szCs w:val="24"/>
        </w:rPr>
        <w:t xml:space="preserve">, &amp; O’Connell, 2015). </w:t>
      </w:r>
    </w:p>
    <w:p w:rsidR="00D5536F" w:rsidRPr="00D5536F" w:rsidRDefault="00D5536F" w:rsidP="00D5536F">
      <w:pPr>
        <w:spacing w:before="240" w:line="480" w:lineRule="auto"/>
        <w:ind w:firstLine="720"/>
        <w:rPr>
          <w:rFonts w:ascii="Times New Roman" w:hAnsi="Times New Roman" w:cs="Times New Roman"/>
          <w:sz w:val="24"/>
          <w:szCs w:val="24"/>
        </w:rPr>
      </w:pPr>
      <w:r w:rsidRPr="00D5536F">
        <w:rPr>
          <w:rFonts w:ascii="Times New Roman" w:hAnsi="Times New Roman" w:cs="Times New Roman"/>
          <w:sz w:val="24"/>
          <w:szCs w:val="24"/>
        </w:rPr>
        <w:t>From the mid-1980s, schools have been allocated funds to control drug abuse, making it possible to enact curricula on the prevention of drug abuse from Kindergarten. The program of prevention of drug-abuse is known as DARE. DARE was introduced in Los Angeles in 1983 and has expanded to $230 million program offering courses in the 50 states as well as 44 countries (</w:t>
      </w:r>
      <w:proofErr w:type="spellStart"/>
      <w:r w:rsidRPr="00D5536F">
        <w:rPr>
          <w:rFonts w:ascii="Times New Roman" w:hAnsi="Times New Roman" w:cs="Times New Roman"/>
          <w:sz w:val="24"/>
          <w:szCs w:val="24"/>
        </w:rPr>
        <w:t>Hirschi</w:t>
      </w:r>
      <w:proofErr w:type="spellEnd"/>
      <w:r w:rsidRPr="00D5536F">
        <w:rPr>
          <w:rFonts w:ascii="Times New Roman" w:hAnsi="Times New Roman" w:cs="Times New Roman"/>
          <w:sz w:val="24"/>
          <w:szCs w:val="24"/>
        </w:rPr>
        <w:t xml:space="preserve">, 2017).  The goals of the program is to provide an accurate perspective on drugs and alcohol, teach the students on how to say no to drugs and providing them with alternatives, teaching decision-making skills as well as the consequences of their behavior, and establishing their self-esteem and how to resist peer pressure (Moeller, Copes, &amp; Hochstetler, 2016). </w:t>
      </w:r>
    </w:p>
    <w:p w:rsidR="00D5536F" w:rsidRPr="00D5536F" w:rsidRDefault="00D5536F" w:rsidP="00D5536F">
      <w:pPr>
        <w:spacing w:before="240" w:line="480" w:lineRule="auto"/>
        <w:ind w:firstLine="720"/>
        <w:rPr>
          <w:rFonts w:ascii="Times New Roman" w:hAnsi="Times New Roman" w:cs="Times New Roman"/>
          <w:sz w:val="24"/>
          <w:szCs w:val="24"/>
        </w:rPr>
      </w:pPr>
      <w:r w:rsidRPr="00D5536F">
        <w:rPr>
          <w:rFonts w:ascii="Times New Roman" w:hAnsi="Times New Roman" w:cs="Times New Roman"/>
          <w:sz w:val="24"/>
          <w:szCs w:val="24"/>
        </w:rPr>
        <w:t xml:space="preserve">Most schools and law enforcement agencies have also established partnerships to respond to the growth of crime in schools. The role played by the police in colleges and campuses has </w:t>
      </w:r>
      <w:r w:rsidRPr="00D5536F">
        <w:rPr>
          <w:rFonts w:ascii="Times New Roman" w:hAnsi="Times New Roman" w:cs="Times New Roman"/>
          <w:sz w:val="24"/>
          <w:szCs w:val="24"/>
        </w:rPr>
        <w:lastRenderedPageBreak/>
        <w:t>been shifting over the years. Their role extends from presence to engagement in the development of students as opposed to a mere response to criminal acts in an arrangement known as the Jeopardy Program. The program aims at gang prevention for children between 8 and 17 years (Brookman, 2015). The Jeopardy program seeks to reduce truancy, improve grades, increase the rate of graduation, enhance self-esteem, reduce the probability of exposure to gang involvement, enhance conflict resolution, develop skills for the setting of goals, and improve reading and writing (</w:t>
      </w:r>
      <w:proofErr w:type="spellStart"/>
      <w:r w:rsidRPr="00D5536F">
        <w:rPr>
          <w:rFonts w:ascii="Times New Roman" w:hAnsi="Times New Roman" w:cs="Times New Roman"/>
          <w:sz w:val="24"/>
          <w:szCs w:val="24"/>
        </w:rPr>
        <w:t>Hirschi</w:t>
      </w:r>
      <w:proofErr w:type="spellEnd"/>
      <w:r w:rsidRPr="00D5536F">
        <w:rPr>
          <w:rFonts w:ascii="Times New Roman" w:hAnsi="Times New Roman" w:cs="Times New Roman"/>
          <w:sz w:val="24"/>
          <w:szCs w:val="24"/>
        </w:rPr>
        <w:t xml:space="preserve">, 2017). </w:t>
      </w:r>
    </w:p>
    <w:p w:rsidR="00D5536F" w:rsidRPr="00D5536F" w:rsidRDefault="00D5536F" w:rsidP="00D5536F">
      <w:pPr>
        <w:spacing w:before="240" w:line="480" w:lineRule="auto"/>
        <w:ind w:firstLine="720"/>
        <w:rPr>
          <w:rFonts w:ascii="Times New Roman" w:hAnsi="Times New Roman" w:cs="Times New Roman"/>
          <w:sz w:val="24"/>
          <w:szCs w:val="24"/>
        </w:rPr>
      </w:pPr>
      <w:r w:rsidRPr="00D5536F">
        <w:rPr>
          <w:rFonts w:ascii="Times New Roman" w:hAnsi="Times New Roman" w:cs="Times New Roman"/>
          <w:sz w:val="24"/>
          <w:szCs w:val="24"/>
        </w:rPr>
        <w:t>Communities have in the past joined their forces with law enforcers in the expression of intolerance against drugs and recently against gangs. The gang prevention programs launched in 1987 received the support of the state by allocating a share in the drug prevention dollars. The program paved the way for funding of gang and drug prevention at the community level for task forces on planning and coordination (</w:t>
      </w:r>
      <w:proofErr w:type="spellStart"/>
      <w:r w:rsidRPr="00D5536F">
        <w:rPr>
          <w:rFonts w:ascii="Times New Roman" w:hAnsi="Times New Roman" w:cs="Times New Roman"/>
          <w:sz w:val="24"/>
          <w:szCs w:val="24"/>
        </w:rPr>
        <w:t>Hirschi</w:t>
      </w:r>
      <w:proofErr w:type="spellEnd"/>
      <w:r w:rsidRPr="00D5536F">
        <w:rPr>
          <w:rFonts w:ascii="Times New Roman" w:hAnsi="Times New Roman" w:cs="Times New Roman"/>
          <w:sz w:val="24"/>
          <w:szCs w:val="24"/>
        </w:rPr>
        <w:t xml:space="preserve">, 2017). The partnership is significant in the community in containing gangs, thereby protecting children from the gangs. Outreach programs for the community were also essential in resolving a conflict among gangs and keeping the children from gangs. Keeping children away from gangs paves the way for intervention for gang bangers by providing vocational training and education to the members of gangs (Brookman, 2015). </w:t>
      </w:r>
    </w:p>
    <w:p w:rsidR="00D5536F" w:rsidRPr="00D5536F" w:rsidRDefault="00D5536F" w:rsidP="00D5536F">
      <w:pPr>
        <w:spacing w:before="240" w:line="480" w:lineRule="auto"/>
        <w:ind w:firstLine="720"/>
        <w:rPr>
          <w:rFonts w:ascii="Times New Roman" w:hAnsi="Times New Roman" w:cs="Times New Roman"/>
          <w:sz w:val="24"/>
          <w:szCs w:val="24"/>
        </w:rPr>
      </w:pPr>
      <w:r w:rsidRPr="00D5536F">
        <w:rPr>
          <w:rFonts w:ascii="Times New Roman" w:hAnsi="Times New Roman" w:cs="Times New Roman"/>
          <w:sz w:val="24"/>
          <w:szCs w:val="24"/>
        </w:rPr>
        <w:t xml:space="preserve">Intervention plays an essential role in the reduction of involvement of gangs. Intervention for those involved in gangs should target 14-25-year-olds that are seeking to get out of the gangs; Intervention is very significant because the children tend to look up to the adults who are part of gangs. Introduction of better programs for intervention will help members to quit being members of gangs by taking up other economic alternatives being offered in the programs (Coyne, &amp; Eck, </w:t>
      </w:r>
      <w:r w:rsidRPr="00D5536F">
        <w:rPr>
          <w:rFonts w:ascii="Times New Roman" w:hAnsi="Times New Roman" w:cs="Times New Roman"/>
          <w:sz w:val="24"/>
          <w:szCs w:val="24"/>
        </w:rPr>
        <w:lastRenderedPageBreak/>
        <w:t xml:space="preserve">2015). It is essential to impart in children the effect of gangs regarding limiting their potential for success (Moeller, Copes, &amp; Hochstetler, 2016). </w:t>
      </w:r>
    </w:p>
    <w:p w:rsidR="00D5536F" w:rsidRPr="00D5536F" w:rsidRDefault="00D5536F" w:rsidP="00D5536F">
      <w:pPr>
        <w:spacing w:before="240" w:line="480" w:lineRule="auto"/>
        <w:ind w:firstLine="720"/>
        <w:rPr>
          <w:rFonts w:ascii="Times New Roman" w:hAnsi="Times New Roman" w:cs="Times New Roman"/>
          <w:sz w:val="24"/>
          <w:szCs w:val="24"/>
        </w:rPr>
      </w:pPr>
      <w:r w:rsidRPr="00D5536F">
        <w:rPr>
          <w:rFonts w:ascii="Times New Roman" w:hAnsi="Times New Roman" w:cs="Times New Roman"/>
          <w:sz w:val="24"/>
          <w:szCs w:val="24"/>
        </w:rPr>
        <w:t xml:space="preserve">The concept of intervention has been covered in the movie “Colors” which presents a conflict between Crips, Bloods, and a Hispanic gang. In the movie, a police officer asks the head of the Hispanic gang if he would be interested in recruiting his younger brother to a gang (Coyne, &amp; Eck, 2015). The leader of the gang opposes the idea because he did not want him to face the same experiences he had encountered in the life of gang-related crime. His younger brother ends up joining a gang eventually emulating his brother. The child could have been saved should an intervention program been introduced to help his older brother to find other legal sources of income. Father Boyle embraces the concept of intervention by empowering members of gangs to secure jobs. He also sets up regulations that they have to abide by acceptable social standards, including gang banging as well as other gang-related crimes.  He seeks to restore hope among the members of the gangs (Brookman, 2015). </w:t>
      </w:r>
    </w:p>
    <w:p w:rsidR="00D5536F" w:rsidRPr="00D5536F" w:rsidRDefault="00D5536F" w:rsidP="00D5536F">
      <w:pPr>
        <w:spacing w:before="240" w:line="480" w:lineRule="auto"/>
        <w:ind w:firstLine="720"/>
        <w:rPr>
          <w:rFonts w:ascii="Times New Roman" w:hAnsi="Times New Roman" w:cs="Times New Roman"/>
          <w:sz w:val="24"/>
          <w:szCs w:val="24"/>
        </w:rPr>
      </w:pPr>
      <w:r w:rsidRPr="00D5536F">
        <w:rPr>
          <w:rFonts w:ascii="Times New Roman" w:hAnsi="Times New Roman" w:cs="Times New Roman"/>
          <w:sz w:val="24"/>
          <w:szCs w:val="24"/>
        </w:rPr>
        <w:t xml:space="preserve">Improvement of living conditions as well as the establishment of opportunities for the youth for the involvement of gangs is an essential element of community-based youth service programs. The Albuquerque’s Youth Development, Inc. (YDI), establishes comprehensive opportunities for youths who are at risk and those in the juvenile justice system (Coyne, &amp; Eck, 2015). YDI prevention, as well as an intervention program, aims to prevent initial engagement in gangs among younger adolescents as well as the provision of constructive economic activities for members of gangs. The program is structured in 7 weeks where members of gangs engage in community services, obtain legal and employment assistance, as well as get counseling with members of the family (Moeller, Copes, &amp; Hochstetler, 2016). </w:t>
      </w:r>
    </w:p>
    <w:p w:rsidR="00D5536F" w:rsidRPr="00D5536F" w:rsidRDefault="00D5536F" w:rsidP="00D5536F">
      <w:pPr>
        <w:spacing w:before="240" w:line="480" w:lineRule="auto"/>
        <w:ind w:firstLine="720"/>
        <w:rPr>
          <w:rFonts w:ascii="Times New Roman" w:hAnsi="Times New Roman" w:cs="Times New Roman"/>
          <w:sz w:val="24"/>
          <w:szCs w:val="24"/>
        </w:rPr>
      </w:pPr>
      <w:r w:rsidRPr="00D5536F">
        <w:rPr>
          <w:rFonts w:ascii="Times New Roman" w:hAnsi="Times New Roman" w:cs="Times New Roman"/>
          <w:sz w:val="24"/>
          <w:szCs w:val="24"/>
        </w:rPr>
        <w:lastRenderedPageBreak/>
        <w:t>Inner-City Games is an additional program that offers options to gang life. The ICG provides opportunities for the youths of inner-city to take part in athletic, cultural, educational, as well as community enrichment programs. The program makes it possible for the youth to establish self-esteem and confidence while encouraging them to protect themselves from drugs, gangs, and violence while embracing learning, hope, and life. Other programs for enhancing the economic status and opportunities for people in gang-ridden neighborhoods include Empowerment zones, community reconstruction, as well as Enterprise Communities (Brookman, 2015). Supported by the American Department of Housing and Urban Development, the Enterprise Communities and Empowerment Zones are large-scale programs whose objective is to re-develop selected inner-city regions.</w:t>
      </w:r>
    </w:p>
    <w:p w:rsidR="00D5536F" w:rsidRPr="00D5536F" w:rsidRDefault="00D5536F" w:rsidP="00D5536F">
      <w:pPr>
        <w:spacing w:before="240" w:line="480" w:lineRule="auto"/>
        <w:rPr>
          <w:rFonts w:ascii="Times New Roman" w:hAnsi="Times New Roman" w:cs="Times New Roman"/>
          <w:sz w:val="24"/>
          <w:szCs w:val="24"/>
        </w:rPr>
      </w:pPr>
      <w:r w:rsidRPr="00D5536F">
        <w:rPr>
          <w:rFonts w:ascii="Times New Roman" w:hAnsi="Times New Roman" w:cs="Times New Roman"/>
          <w:sz w:val="24"/>
          <w:szCs w:val="24"/>
        </w:rPr>
        <w:t xml:space="preserve">There are several programs formulated to reduce gang-related problems in particularly low-income regions, as well as public housing projects. </w:t>
      </w:r>
    </w:p>
    <w:p w:rsidR="00D5536F" w:rsidRPr="00D5536F" w:rsidRDefault="00D5536F" w:rsidP="00D5536F">
      <w:pPr>
        <w:spacing w:before="240" w:line="480" w:lineRule="auto"/>
        <w:jc w:val="center"/>
        <w:rPr>
          <w:rFonts w:ascii="Times New Roman" w:hAnsi="Times New Roman" w:cs="Times New Roman"/>
          <w:sz w:val="24"/>
          <w:szCs w:val="24"/>
        </w:rPr>
      </w:pPr>
      <w:r w:rsidRPr="00D5536F">
        <w:rPr>
          <w:rFonts w:ascii="Times New Roman" w:hAnsi="Times New Roman" w:cs="Times New Roman"/>
          <w:sz w:val="24"/>
          <w:szCs w:val="24"/>
        </w:rPr>
        <w:t>The Beethoven Project</w:t>
      </w:r>
    </w:p>
    <w:p w:rsidR="00D5536F" w:rsidRPr="00D5536F" w:rsidRDefault="00D5536F" w:rsidP="00D5536F">
      <w:pPr>
        <w:spacing w:before="240" w:line="480" w:lineRule="auto"/>
        <w:ind w:firstLine="720"/>
        <w:rPr>
          <w:rFonts w:ascii="Times New Roman" w:hAnsi="Times New Roman" w:cs="Times New Roman"/>
          <w:sz w:val="24"/>
          <w:szCs w:val="24"/>
        </w:rPr>
      </w:pPr>
      <w:r w:rsidRPr="00D5536F">
        <w:rPr>
          <w:rFonts w:ascii="Times New Roman" w:hAnsi="Times New Roman" w:cs="Times New Roman"/>
          <w:sz w:val="24"/>
          <w:szCs w:val="24"/>
        </w:rPr>
        <w:t xml:space="preserve">The project introduced in Chicago by Robert Taylor Homes was designed to make sure that infants and mothers have a head start in access to health and social services, mainly through a family drop-in-center. </w:t>
      </w:r>
    </w:p>
    <w:p w:rsidR="00D5536F" w:rsidRPr="00D5536F" w:rsidRDefault="00D5536F" w:rsidP="00D5536F">
      <w:pPr>
        <w:spacing w:before="240" w:line="480" w:lineRule="auto"/>
        <w:jc w:val="center"/>
        <w:rPr>
          <w:rFonts w:ascii="Times New Roman" w:hAnsi="Times New Roman" w:cs="Times New Roman"/>
          <w:sz w:val="24"/>
          <w:szCs w:val="24"/>
        </w:rPr>
      </w:pPr>
      <w:bookmarkStart w:id="0" w:name="_GoBack"/>
      <w:r w:rsidRPr="00D5536F">
        <w:rPr>
          <w:rFonts w:ascii="Times New Roman" w:hAnsi="Times New Roman" w:cs="Times New Roman"/>
          <w:sz w:val="24"/>
          <w:szCs w:val="24"/>
        </w:rPr>
        <w:t>The Neutral Zone</w:t>
      </w:r>
    </w:p>
    <w:bookmarkEnd w:id="0"/>
    <w:p w:rsidR="00D5536F" w:rsidRPr="00D5536F" w:rsidRDefault="00D5536F" w:rsidP="00D5536F">
      <w:pPr>
        <w:spacing w:before="240" w:line="480" w:lineRule="auto"/>
        <w:ind w:firstLine="720"/>
        <w:rPr>
          <w:rFonts w:ascii="Times New Roman" w:hAnsi="Times New Roman" w:cs="Times New Roman"/>
          <w:sz w:val="24"/>
          <w:szCs w:val="24"/>
        </w:rPr>
      </w:pPr>
      <w:r w:rsidRPr="00D5536F">
        <w:rPr>
          <w:rFonts w:ascii="Times New Roman" w:hAnsi="Times New Roman" w:cs="Times New Roman"/>
          <w:sz w:val="24"/>
          <w:szCs w:val="24"/>
        </w:rPr>
        <w:t xml:space="preserve">This is a recreation facility that operates in multiple communities within the State of Washington, provides high-risk youth, most of who are actively involved in gangs with alternatives to gang-related activities at night. </w:t>
      </w:r>
    </w:p>
    <w:p w:rsidR="00D5536F" w:rsidRPr="00D5536F" w:rsidRDefault="00D5536F" w:rsidP="00D5536F">
      <w:pPr>
        <w:spacing w:before="240" w:line="480" w:lineRule="auto"/>
        <w:ind w:firstLine="720"/>
        <w:rPr>
          <w:rFonts w:ascii="Times New Roman" w:hAnsi="Times New Roman" w:cs="Times New Roman"/>
          <w:sz w:val="24"/>
          <w:szCs w:val="24"/>
        </w:rPr>
      </w:pPr>
      <w:r w:rsidRPr="00D5536F">
        <w:rPr>
          <w:rFonts w:ascii="Times New Roman" w:hAnsi="Times New Roman" w:cs="Times New Roman"/>
          <w:sz w:val="24"/>
          <w:szCs w:val="24"/>
        </w:rPr>
        <w:lastRenderedPageBreak/>
        <w:t xml:space="preserve">The Community Outreach Program involves prompt re-focusing of first-time offenders and school liaison work in the Southeast Asian community, which has been riddled by gangs. A neighborhood block watch is a significant approach to the prevention of crime in the community for public housing projects as well as other neighborhoods (Walsh, 2017). Other initiatives that help in the reduction of crime include the manhood development which is a culture-specific program for mentorship that matches the youth to their adult role models (Coyne, &amp; Eck, 2015). Others include the neighborhood youth centers such as the office of Juvenile Justice and Delinquency Prevention, use of gang members. Incorporating members of gangs in efforts for outreach such as the City of Fort Worth, as well as the Community Reclamation Project which laid down procedures of establishing an integrated network of community-based organizations, citizens, agencies, as well as citizens who would effectively respond to emerging gang challenges (Brookman, 2015). </w:t>
      </w:r>
    </w:p>
    <w:p w:rsidR="00B47BD9" w:rsidRPr="00B47BD9" w:rsidRDefault="00D5536F" w:rsidP="00D5536F">
      <w:pPr>
        <w:spacing w:before="240" w:line="480" w:lineRule="auto"/>
        <w:ind w:firstLine="720"/>
        <w:rPr>
          <w:rFonts w:ascii="Times New Roman" w:hAnsi="Times New Roman" w:cs="Times New Roman"/>
          <w:sz w:val="24"/>
          <w:szCs w:val="24"/>
        </w:rPr>
      </w:pPr>
      <w:r w:rsidRPr="00D5536F">
        <w:rPr>
          <w:rFonts w:ascii="Times New Roman" w:hAnsi="Times New Roman" w:cs="Times New Roman"/>
          <w:sz w:val="24"/>
          <w:szCs w:val="24"/>
        </w:rPr>
        <w:t xml:space="preserve">In summary, the rational choice theory was first incorporated in the Economic and Political Science departments but later applied in crime with the objective of crime prevention as opposed to the deeper social, political, and causes of crime. In the context of crime, the rational choice theory dictates that criminals are self-interested and rational. It argues that individuals may choose between crime and work depending on their probability of success in the job market. The people also take into account the element of getting caught should they choose to indulge in crime. Control strategies towards the provision of gang-related crime should start from the home, schools, and at the community at large. Parents should get trained on how to spot association with gangs as well as how they can provide economic, vocational training and educating their children to empower them thereby making gangs to be less glamorous. Improvement of living conditions as well as the establishment of opportunities for the youth for the involvement of </w:t>
      </w:r>
      <w:r w:rsidRPr="00D5536F">
        <w:rPr>
          <w:rFonts w:ascii="Times New Roman" w:hAnsi="Times New Roman" w:cs="Times New Roman"/>
          <w:sz w:val="24"/>
          <w:szCs w:val="24"/>
        </w:rPr>
        <w:lastRenderedPageBreak/>
        <w:t>gangs is an essential element of community-based youth service programs. Most of the study on responding to rational choice or deterrence has been done using high school and college students, as well as samples of adults in the community as the primary sample. The studies indicate that the inevitability of sanctions in control systems is a minor, but a highly significant factor to deterrent of minor forms of crime. Schools in California have taken an active role in the prevention of gangs for many years. To manage gang-related challenges, programs in schools place their focus on establishing members of gangs, elimination of graffiti, mediating potential conflicts among members of gangs, as well as offering parents with relevant information on the participation of their children on gangs. Outreach programs for the community were also essential in resolving the conflict between gangs and keeping the children from gangs. Keeping children away from gangs paves the way for intervention for gang bangers by providing vocational training and education to the members of gangs.</w:t>
      </w:r>
    </w:p>
    <w:p w:rsidR="00EA546D" w:rsidRPr="00B47BD9" w:rsidRDefault="00EA546D" w:rsidP="00067BDD">
      <w:pPr>
        <w:spacing w:before="240" w:line="480" w:lineRule="auto"/>
        <w:rPr>
          <w:rFonts w:ascii="Times New Roman" w:hAnsi="Times New Roman" w:cs="Times New Roman"/>
          <w:sz w:val="24"/>
          <w:szCs w:val="24"/>
        </w:rPr>
      </w:pPr>
      <w:r w:rsidRPr="00B47BD9">
        <w:rPr>
          <w:rFonts w:ascii="Times New Roman" w:hAnsi="Times New Roman" w:cs="Times New Roman"/>
          <w:sz w:val="24"/>
          <w:szCs w:val="24"/>
        </w:rPr>
        <w:br w:type="page"/>
      </w:r>
    </w:p>
    <w:p w:rsidR="009F396C" w:rsidRPr="00B47BD9" w:rsidRDefault="004778E9" w:rsidP="00067BDD">
      <w:pPr>
        <w:spacing w:before="240" w:line="480" w:lineRule="auto"/>
        <w:ind w:left="720" w:hanging="720"/>
        <w:jc w:val="center"/>
        <w:rPr>
          <w:rFonts w:ascii="Times New Roman" w:hAnsi="Times New Roman" w:cs="Times New Roman"/>
          <w:sz w:val="24"/>
          <w:szCs w:val="24"/>
        </w:rPr>
      </w:pPr>
      <w:r w:rsidRPr="00B47BD9">
        <w:rPr>
          <w:rFonts w:ascii="Times New Roman" w:hAnsi="Times New Roman" w:cs="Times New Roman"/>
          <w:sz w:val="24"/>
          <w:szCs w:val="24"/>
        </w:rPr>
        <w:lastRenderedPageBreak/>
        <w:t>References</w:t>
      </w:r>
    </w:p>
    <w:p w:rsidR="004F47FE" w:rsidRPr="00B47BD9" w:rsidRDefault="004F47FE" w:rsidP="00067BDD">
      <w:pPr>
        <w:pBdr>
          <w:bottom w:val="single" w:sz="6" w:space="1" w:color="auto"/>
        </w:pBdr>
        <w:spacing w:before="240" w:after="0" w:line="480" w:lineRule="auto"/>
        <w:ind w:left="720" w:hanging="720"/>
        <w:jc w:val="center"/>
        <w:rPr>
          <w:rFonts w:ascii="Times New Roman" w:eastAsia="Times New Roman" w:hAnsi="Times New Roman" w:cs="Times New Roman"/>
          <w:vanish/>
          <w:sz w:val="24"/>
          <w:szCs w:val="24"/>
        </w:rPr>
      </w:pPr>
      <w:r w:rsidRPr="00B47BD9">
        <w:rPr>
          <w:rFonts w:ascii="Times New Roman" w:eastAsia="Times New Roman" w:hAnsi="Times New Roman" w:cs="Times New Roman"/>
          <w:vanish/>
          <w:sz w:val="24"/>
          <w:szCs w:val="24"/>
        </w:rPr>
        <w:t>Top of Form</w:t>
      </w:r>
    </w:p>
    <w:p w:rsidR="004F47FE" w:rsidRPr="00B47BD9" w:rsidRDefault="004F47FE" w:rsidP="00067BDD">
      <w:pPr>
        <w:pBdr>
          <w:top w:val="single" w:sz="6" w:space="1" w:color="auto"/>
        </w:pBdr>
        <w:spacing w:before="240" w:after="0" w:line="480" w:lineRule="auto"/>
        <w:ind w:left="720" w:hanging="720"/>
        <w:jc w:val="center"/>
        <w:rPr>
          <w:rFonts w:ascii="Times New Roman" w:eastAsia="Times New Roman" w:hAnsi="Times New Roman" w:cs="Times New Roman"/>
          <w:vanish/>
          <w:sz w:val="24"/>
          <w:szCs w:val="24"/>
        </w:rPr>
      </w:pPr>
      <w:r w:rsidRPr="00B47BD9">
        <w:rPr>
          <w:rFonts w:ascii="Times New Roman" w:eastAsia="Times New Roman" w:hAnsi="Times New Roman" w:cs="Times New Roman"/>
          <w:vanish/>
          <w:sz w:val="24"/>
          <w:szCs w:val="24"/>
        </w:rPr>
        <w:t>Bottom of Form</w:t>
      </w:r>
    </w:p>
    <w:p w:rsidR="004F47FE" w:rsidRPr="00B47BD9" w:rsidRDefault="004F47FE" w:rsidP="00067BDD">
      <w:pPr>
        <w:spacing w:before="240" w:line="480" w:lineRule="auto"/>
        <w:ind w:left="720" w:hanging="720"/>
        <w:rPr>
          <w:rFonts w:ascii="Times New Roman" w:hAnsi="Times New Roman" w:cs="Times New Roman"/>
          <w:sz w:val="24"/>
          <w:szCs w:val="24"/>
        </w:rPr>
      </w:pPr>
      <w:r w:rsidRPr="00B47BD9">
        <w:rPr>
          <w:rFonts w:ascii="Times New Roman" w:hAnsi="Times New Roman" w:cs="Times New Roman"/>
          <w:sz w:val="24"/>
          <w:szCs w:val="24"/>
          <w:shd w:val="clear" w:color="auto" w:fill="FFFFFF"/>
        </w:rPr>
        <w:t>Brookman, F. (2015). Killer decisions: The role of cognition, affect and ‘</w:t>
      </w:r>
      <w:proofErr w:type="spellStart"/>
      <w:r w:rsidRPr="00B47BD9">
        <w:rPr>
          <w:rFonts w:ascii="Times New Roman" w:hAnsi="Times New Roman" w:cs="Times New Roman"/>
          <w:sz w:val="24"/>
          <w:szCs w:val="24"/>
          <w:shd w:val="clear" w:color="auto" w:fill="FFFFFF"/>
        </w:rPr>
        <w:t>expertise’in</w:t>
      </w:r>
      <w:proofErr w:type="spellEnd"/>
      <w:r w:rsidRPr="00B47BD9">
        <w:rPr>
          <w:rFonts w:ascii="Times New Roman" w:hAnsi="Times New Roman" w:cs="Times New Roman"/>
          <w:sz w:val="24"/>
          <w:szCs w:val="24"/>
          <w:shd w:val="clear" w:color="auto" w:fill="FFFFFF"/>
        </w:rPr>
        <w:t xml:space="preserve"> homicide. </w:t>
      </w:r>
      <w:r w:rsidRPr="00B47BD9">
        <w:rPr>
          <w:rFonts w:ascii="Times New Roman" w:hAnsi="Times New Roman" w:cs="Times New Roman"/>
          <w:i/>
          <w:iCs/>
          <w:sz w:val="24"/>
          <w:szCs w:val="24"/>
          <w:shd w:val="clear" w:color="auto" w:fill="FFFFFF"/>
        </w:rPr>
        <w:t>Aggression and Violent Behavior</w:t>
      </w:r>
      <w:r w:rsidRPr="00B47BD9">
        <w:rPr>
          <w:rFonts w:ascii="Times New Roman" w:hAnsi="Times New Roman" w:cs="Times New Roman"/>
          <w:sz w:val="24"/>
          <w:szCs w:val="24"/>
          <w:shd w:val="clear" w:color="auto" w:fill="FFFFFF"/>
        </w:rPr>
        <w:t>, </w:t>
      </w:r>
      <w:r w:rsidRPr="00B47BD9">
        <w:rPr>
          <w:rFonts w:ascii="Times New Roman" w:hAnsi="Times New Roman" w:cs="Times New Roman"/>
          <w:i/>
          <w:iCs/>
          <w:sz w:val="24"/>
          <w:szCs w:val="24"/>
          <w:shd w:val="clear" w:color="auto" w:fill="FFFFFF"/>
        </w:rPr>
        <w:t>20</w:t>
      </w:r>
      <w:r w:rsidRPr="00B47BD9">
        <w:rPr>
          <w:rFonts w:ascii="Times New Roman" w:hAnsi="Times New Roman" w:cs="Times New Roman"/>
          <w:sz w:val="24"/>
          <w:szCs w:val="24"/>
          <w:shd w:val="clear" w:color="auto" w:fill="FFFFFF"/>
        </w:rPr>
        <w:t>, 42-52.</w:t>
      </w:r>
    </w:p>
    <w:p w:rsidR="004F47FE" w:rsidRPr="00B47BD9" w:rsidRDefault="004F47FE" w:rsidP="00067BDD">
      <w:pPr>
        <w:spacing w:before="240" w:line="480" w:lineRule="auto"/>
        <w:ind w:left="720" w:hanging="720"/>
        <w:rPr>
          <w:rFonts w:ascii="Times New Roman" w:hAnsi="Times New Roman" w:cs="Times New Roman"/>
          <w:sz w:val="24"/>
          <w:szCs w:val="24"/>
          <w:shd w:val="clear" w:color="auto" w:fill="FFFFFF"/>
        </w:rPr>
      </w:pPr>
      <w:r w:rsidRPr="00B47BD9">
        <w:rPr>
          <w:rFonts w:ascii="Times New Roman" w:hAnsi="Times New Roman" w:cs="Times New Roman"/>
          <w:sz w:val="24"/>
          <w:szCs w:val="24"/>
          <w:shd w:val="clear" w:color="auto" w:fill="FFFFFF"/>
        </w:rPr>
        <w:t xml:space="preserve">Choy, O., </w:t>
      </w:r>
      <w:proofErr w:type="spellStart"/>
      <w:r w:rsidRPr="00B47BD9">
        <w:rPr>
          <w:rFonts w:ascii="Times New Roman" w:hAnsi="Times New Roman" w:cs="Times New Roman"/>
          <w:sz w:val="24"/>
          <w:szCs w:val="24"/>
          <w:shd w:val="clear" w:color="auto" w:fill="FFFFFF"/>
        </w:rPr>
        <w:t>Raine</w:t>
      </w:r>
      <w:proofErr w:type="spellEnd"/>
      <w:r w:rsidRPr="00B47BD9">
        <w:rPr>
          <w:rFonts w:ascii="Times New Roman" w:hAnsi="Times New Roman" w:cs="Times New Roman"/>
          <w:sz w:val="24"/>
          <w:szCs w:val="24"/>
          <w:shd w:val="clear" w:color="auto" w:fill="FFFFFF"/>
        </w:rPr>
        <w:t xml:space="preserve">, A., </w:t>
      </w:r>
      <w:proofErr w:type="spellStart"/>
      <w:r w:rsidRPr="00B47BD9">
        <w:rPr>
          <w:rFonts w:ascii="Times New Roman" w:hAnsi="Times New Roman" w:cs="Times New Roman"/>
          <w:sz w:val="24"/>
          <w:szCs w:val="24"/>
          <w:shd w:val="clear" w:color="auto" w:fill="FFFFFF"/>
        </w:rPr>
        <w:t>Venables</w:t>
      </w:r>
      <w:proofErr w:type="spellEnd"/>
      <w:r w:rsidRPr="00B47BD9">
        <w:rPr>
          <w:rFonts w:ascii="Times New Roman" w:hAnsi="Times New Roman" w:cs="Times New Roman"/>
          <w:sz w:val="24"/>
          <w:szCs w:val="24"/>
          <w:shd w:val="clear" w:color="auto" w:fill="FFFFFF"/>
        </w:rPr>
        <w:t>, P. H., &amp; Farrington, D. P. (2017). Explaining the gender gap in crime: The role of heart rate. </w:t>
      </w:r>
      <w:r w:rsidRPr="00B47BD9">
        <w:rPr>
          <w:rFonts w:ascii="Times New Roman" w:hAnsi="Times New Roman" w:cs="Times New Roman"/>
          <w:i/>
          <w:iCs/>
          <w:sz w:val="24"/>
          <w:szCs w:val="24"/>
          <w:shd w:val="clear" w:color="auto" w:fill="FFFFFF"/>
        </w:rPr>
        <w:t>Journal of criminology</w:t>
      </w:r>
      <w:r w:rsidRPr="00B47BD9">
        <w:rPr>
          <w:rFonts w:ascii="Times New Roman" w:hAnsi="Times New Roman" w:cs="Times New Roman"/>
          <w:sz w:val="24"/>
          <w:szCs w:val="24"/>
          <w:shd w:val="clear" w:color="auto" w:fill="FFFFFF"/>
        </w:rPr>
        <w:t>, </w:t>
      </w:r>
      <w:r w:rsidRPr="00B47BD9">
        <w:rPr>
          <w:rFonts w:ascii="Times New Roman" w:hAnsi="Times New Roman" w:cs="Times New Roman"/>
          <w:i/>
          <w:iCs/>
          <w:sz w:val="24"/>
          <w:szCs w:val="24"/>
          <w:shd w:val="clear" w:color="auto" w:fill="FFFFFF"/>
        </w:rPr>
        <w:t>55</w:t>
      </w:r>
      <w:r w:rsidRPr="00B47BD9">
        <w:rPr>
          <w:rFonts w:ascii="Times New Roman" w:hAnsi="Times New Roman" w:cs="Times New Roman"/>
          <w:sz w:val="24"/>
          <w:szCs w:val="24"/>
          <w:shd w:val="clear" w:color="auto" w:fill="FFFFFF"/>
        </w:rPr>
        <w:t>(2), 465-487.</w:t>
      </w:r>
    </w:p>
    <w:p w:rsidR="004F47FE" w:rsidRPr="00B47BD9" w:rsidRDefault="004F47FE" w:rsidP="00067BDD">
      <w:pPr>
        <w:spacing w:before="240" w:line="480" w:lineRule="auto"/>
        <w:ind w:left="720" w:hanging="720"/>
        <w:rPr>
          <w:rFonts w:ascii="Times New Roman" w:hAnsi="Times New Roman" w:cs="Times New Roman"/>
          <w:sz w:val="24"/>
          <w:szCs w:val="24"/>
          <w:shd w:val="clear" w:color="auto" w:fill="FFFFFF"/>
        </w:rPr>
      </w:pPr>
      <w:r w:rsidRPr="00B47BD9">
        <w:rPr>
          <w:rFonts w:ascii="Times New Roman" w:hAnsi="Times New Roman" w:cs="Times New Roman"/>
          <w:sz w:val="24"/>
          <w:szCs w:val="24"/>
          <w:shd w:val="clear" w:color="auto" w:fill="FFFFFF"/>
        </w:rPr>
        <w:t>Coyne, M. A., &amp; Eck, J. E. (2015). Situational choice and crime events. </w:t>
      </w:r>
      <w:r w:rsidRPr="00B47BD9">
        <w:rPr>
          <w:rFonts w:ascii="Times New Roman" w:hAnsi="Times New Roman" w:cs="Times New Roman"/>
          <w:i/>
          <w:iCs/>
          <w:sz w:val="24"/>
          <w:szCs w:val="24"/>
          <w:shd w:val="clear" w:color="auto" w:fill="FFFFFF"/>
        </w:rPr>
        <w:t>Journal of Contemporary Criminal Justice</w:t>
      </w:r>
      <w:r w:rsidRPr="00B47BD9">
        <w:rPr>
          <w:rFonts w:ascii="Times New Roman" w:hAnsi="Times New Roman" w:cs="Times New Roman"/>
          <w:sz w:val="24"/>
          <w:szCs w:val="24"/>
          <w:shd w:val="clear" w:color="auto" w:fill="FFFFFF"/>
        </w:rPr>
        <w:t>, </w:t>
      </w:r>
      <w:r w:rsidRPr="00B47BD9">
        <w:rPr>
          <w:rFonts w:ascii="Times New Roman" w:hAnsi="Times New Roman" w:cs="Times New Roman"/>
          <w:i/>
          <w:iCs/>
          <w:sz w:val="24"/>
          <w:szCs w:val="24"/>
          <w:shd w:val="clear" w:color="auto" w:fill="FFFFFF"/>
        </w:rPr>
        <w:t>31</w:t>
      </w:r>
      <w:r w:rsidRPr="00B47BD9">
        <w:rPr>
          <w:rFonts w:ascii="Times New Roman" w:hAnsi="Times New Roman" w:cs="Times New Roman"/>
          <w:sz w:val="24"/>
          <w:szCs w:val="24"/>
          <w:shd w:val="clear" w:color="auto" w:fill="FFFFFF"/>
        </w:rPr>
        <w:t>(1), 12-29.</w:t>
      </w:r>
    </w:p>
    <w:p w:rsidR="004F47FE" w:rsidRPr="00B47BD9" w:rsidRDefault="004F47FE" w:rsidP="00067BDD">
      <w:pPr>
        <w:spacing w:before="240" w:line="480" w:lineRule="auto"/>
        <w:ind w:left="720" w:hanging="720"/>
        <w:rPr>
          <w:rFonts w:ascii="Times New Roman" w:hAnsi="Times New Roman" w:cs="Times New Roman"/>
          <w:sz w:val="24"/>
          <w:szCs w:val="24"/>
          <w:shd w:val="clear" w:color="auto" w:fill="FFFFFF"/>
        </w:rPr>
      </w:pPr>
      <w:r w:rsidRPr="00B47BD9">
        <w:rPr>
          <w:rFonts w:ascii="Times New Roman" w:hAnsi="Times New Roman" w:cs="Times New Roman"/>
          <w:sz w:val="24"/>
          <w:szCs w:val="24"/>
          <w:shd w:val="clear" w:color="auto" w:fill="FFFFFF"/>
        </w:rPr>
        <w:t>Hayward, K. (2007). Situational crime prevention and its discontents: rational choice theory versus the ‘culture of now’. </w:t>
      </w:r>
      <w:r w:rsidRPr="00B47BD9">
        <w:rPr>
          <w:rFonts w:ascii="Times New Roman" w:hAnsi="Times New Roman" w:cs="Times New Roman"/>
          <w:i/>
          <w:iCs/>
          <w:sz w:val="24"/>
          <w:szCs w:val="24"/>
          <w:shd w:val="clear" w:color="auto" w:fill="FFFFFF"/>
        </w:rPr>
        <w:t>Social Policy &amp; Administration</w:t>
      </w:r>
      <w:r w:rsidRPr="00B47BD9">
        <w:rPr>
          <w:rFonts w:ascii="Times New Roman" w:hAnsi="Times New Roman" w:cs="Times New Roman"/>
          <w:sz w:val="24"/>
          <w:szCs w:val="24"/>
          <w:shd w:val="clear" w:color="auto" w:fill="FFFFFF"/>
        </w:rPr>
        <w:t>, </w:t>
      </w:r>
      <w:r w:rsidRPr="00B47BD9">
        <w:rPr>
          <w:rFonts w:ascii="Times New Roman" w:hAnsi="Times New Roman" w:cs="Times New Roman"/>
          <w:i/>
          <w:iCs/>
          <w:sz w:val="24"/>
          <w:szCs w:val="24"/>
          <w:shd w:val="clear" w:color="auto" w:fill="FFFFFF"/>
        </w:rPr>
        <w:t>41</w:t>
      </w:r>
      <w:r w:rsidRPr="00B47BD9">
        <w:rPr>
          <w:rFonts w:ascii="Times New Roman" w:hAnsi="Times New Roman" w:cs="Times New Roman"/>
          <w:sz w:val="24"/>
          <w:szCs w:val="24"/>
          <w:shd w:val="clear" w:color="auto" w:fill="FFFFFF"/>
        </w:rPr>
        <w:t>(3), 232-250.</w:t>
      </w:r>
    </w:p>
    <w:p w:rsidR="004F47FE" w:rsidRPr="00B47BD9" w:rsidRDefault="004F47FE" w:rsidP="00067BDD">
      <w:pPr>
        <w:spacing w:before="240" w:line="480" w:lineRule="auto"/>
        <w:ind w:left="720" w:hanging="720"/>
        <w:rPr>
          <w:rFonts w:ascii="Times New Roman" w:hAnsi="Times New Roman" w:cs="Times New Roman"/>
          <w:sz w:val="24"/>
          <w:szCs w:val="24"/>
          <w:shd w:val="clear" w:color="auto" w:fill="FFFFFF"/>
        </w:rPr>
      </w:pPr>
      <w:proofErr w:type="spellStart"/>
      <w:r w:rsidRPr="00B47BD9">
        <w:rPr>
          <w:rFonts w:ascii="Times New Roman" w:hAnsi="Times New Roman" w:cs="Times New Roman"/>
          <w:sz w:val="24"/>
          <w:szCs w:val="24"/>
          <w:shd w:val="clear" w:color="auto" w:fill="FFFFFF"/>
        </w:rPr>
        <w:t>Hirschi</w:t>
      </w:r>
      <w:proofErr w:type="spellEnd"/>
      <w:r w:rsidRPr="00B47BD9">
        <w:rPr>
          <w:rFonts w:ascii="Times New Roman" w:hAnsi="Times New Roman" w:cs="Times New Roman"/>
          <w:sz w:val="24"/>
          <w:szCs w:val="24"/>
          <w:shd w:val="clear" w:color="auto" w:fill="FFFFFF"/>
        </w:rPr>
        <w:t>, T. (2017). On the compatibility of rational choice and social control theories of crime. In </w:t>
      </w:r>
      <w:r w:rsidRPr="00B47BD9">
        <w:rPr>
          <w:rFonts w:ascii="Times New Roman" w:hAnsi="Times New Roman" w:cs="Times New Roman"/>
          <w:i/>
          <w:iCs/>
          <w:sz w:val="24"/>
          <w:szCs w:val="24"/>
          <w:shd w:val="clear" w:color="auto" w:fill="FFFFFF"/>
        </w:rPr>
        <w:t>The reasoning criminal</w:t>
      </w:r>
      <w:r w:rsidRPr="00B47BD9">
        <w:rPr>
          <w:rFonts w:ascii="Times New Roman" w:hAnsi="Times New Roman" w:cs="Times New Roman"/>
          <w:sz w:val="24"/>
          <w:szCs w:val="24"/>
          <w:shd w:val="clear" w:color="auto" w:fill="FFFFFF"/>
        </w:rPr>
        <w:t> (pp. 105-118). Routledge.</w:t>
      </w:r>
    </w:p>
    <w:p w:rsidR="004F47FE" w:rsidRPr="00B47BD9" w:rsidRDefault="004F47FE" w:rsidP="00067BDD">
      <w:pPr>
        <w:spacing w:before="240" w:line="480" w:lineRule="auto"/>
        <w:ind w:left="720" w:hanging="720"/>
        <w:rPr>
          <w:rFonts w:ascii="Times New Roman" w:hAnsi="Times New Roman" w:cs="Times New Roman"/>
          <w:sz w:val="24"/>
          <w:szCs w:val="24"/>
          <w:shd w:val="clear" w:color="auto" w:fill="FFFFFF"/>
        </w:rPr>
      </w:pPr>
      <w:r w:rsidRPr="00B47BD9">
        <w:rPr>
          <w:rFonts w:ascii="Times New Roman" w:hAnsi="Times New Roman" w:cs="Times New Roman"/>
          <w:sz w:val="24"/>
          <w:szCs w:val="24"/>
          <w:shd w:val="clear" w:color="auto" w:fill="FFFFFF"/>
        </w:rPr>
        <w:t>Moeller, K., Copes, H., &amp; Hochstetler, A. (2016). Advancing restrictive deterrence: A qualitative meta-synthesis. </w:t>
      </w:r>
      <w:r w:rsidRPr="00B47BD9">
        <w:rPr>
          <w:rFonts w:ascii="Times New Roman" w:hAnsi="Times New Roman" w:cs="Times New Roman"/>
          <w:i/>
          <w:iCs/>
          <w:sz w:val="24"/>
          <w:szCs w:val="24"/>
          <w:shd w:val="clear" w:color="auto" w:fill="FFFFFF"/>
        </w:rPr>
        <w:t>Journal of Criminal Justice</w:t>
      </w:r>
      <w:r w:rsidRPr="00B47BD9">
        <w:rPr>
          <w:rFonts w:ascii="Times New Roman" w:hAnsi="Times New Roman" w:cs="Times New Roman"/>
          <w:sz w:val="24"/>
          <w:szCs w:val="24"/>
          <w:shd w:val="clear" w:color="auto" w:fill="FFFFFF"/>
        </w:rPr>
        <w:t>, </w:t>
      </w:r>
      <w:r w:rsidRPr="00B47BD9">
        <w:rPr>
          <w:rFonts w:ascii="Times New Roman" w:hAnsi="Times New Roman" w:cs="Times New Roman"/>
          <w:i/>
          <w:iCs/>
          <w:sz w:val="24"/>
          <w:szCs w:val="24"/>
          <w:shd w:val="clear" w:color="auto" w:fill="FFFFFF"/>
        </w:rPr>
        <w:t>46</w:t>
      </w:r>
      <w:r w:rsidRPr="00B47BD9">
        <w:rPr>
          <w:rFonts w:ascii="Times New Roman" w:hAnsi="Times New Roman" w:cs="Times New Roman"/>
          <w:sz w:val="24"/>
          <w:szCs w:val="24"/>
          <w:shd w:val="clear" w:color="auto" w:fill="FFFFFF"/>
        </w:rPr>
        <w:t>, 82-93.</w:t>
      </w:r>
    </w:p>
    <w:p w:rsidR="004F47FE" w:rsidRPr="00B47BD9" w:rsidRDefault="004F47FE" w:rsidP="00067BDD">
      <w:pPr>
        <w:spacing w:before="240" w:line="480" w:lineRule="auto"/>
        <w:ind w:left="720" w:hanging="720"/>
        <w:rPr>
          <w:rFonts w:ascii="Times New Roman" w:hAnsi="Times New Roman" w:cs="Times New Roman"/>
          <w:sz w:val="24"/>
          <w:szCs w:val="24"/>
          <w:shd w:val="clear" w:color="auto" w:fill="FFFFFF"/>
        </w:rPr>
      </w:pPr>
      <w:r w:rsidRPr="00B47BD9">
        <w:rPr>
          <w:rFonts w:ascii="Times New Roman" w:hAnsi="Times New Roman" w:cs="Times New Roman"/>
          <w:sz w:val="24"/>
          <w:szCs w:val="24"/>
          <w:shd w:val="clear" w:color="auto" w:fill="FFFFFF"/>
        </w:rPr>
        <w:t xml:space="preserve">Paternoster, R., Bachman, R., </w:t>
      </w:r>
      <w:proofErr w:type="spellStart"/>
      <w:r w:rsidRPr="00B47BD9">
        <w:rPr>
          <w:rFonts w:ascii="Times New Roman" w:hAnsi="Times New Roman" w:cs="Times New Roman"/>
          <w:sz w:val="24"/>
          <w:szCs w:val="24"/>
          <w:shd w:val="clear" w:color="auto" w:fill="FFFFFF"/>
        </w:rPr>
        <w:t>Bushway</w:t>
      </w:r>
      <w:proofErr w:type="spellEnd"/>
      <w:r w:rsidRPr="00B47BD9">
        <w:rPr>
          <w:rFonts w:ascii="Times New Roman" w:hAnsi="Times New Roman" w:cs="Times New Roman"/>
          <w:sz w:val="24"/>
          <w:szCs w:val="24"/>
          <w:shd w:val="clear" w:color="auto" w:fill="FFFFFF"/>
        </w:rPr>
        <w:t xml:space="preserve">, S., </w:t>
      </w:r>
      <w:proofErr w:type="spellStart"/>
      <w:r w:rsidRPr="00B47BD9">
        <w:rPr>
          <w:rFonts w:ascii="Times New Roman" w:hAnsi="Times New Roman" w:cs="Times New Roman"/>
          <w:sz w:val="24"/>
          <w:szCs w:val="24"/>
          <w:shd w:val="clear" w:color="auto" w:fill="FFFFFF"/>
        </w:rPr>
        <w:t>Kerrison</w:t>
      </w:r>
      <w:proofErr w:type="spellEnd"/>
      <w:r w:rsidRPr="00B47BD9">
        <w:rPr>
          <w:rFonts w:ascii="Times New Roman" w:hAnsi="Times New Roman" w:cs="Times New Roman"/>
          <w:sz w:val="24"/>
          <w:szCs w:val="24"/>
          <w:shd w:val="clear" w:color="auto" w:fill="FFFFFF"/>
        </w:rPr>
        <w:t>, E., &amp; O’Connell, D. (2015). Human agency and explanations of criminal desistance: Arguments for a rational choice theory. </w:t>
      </w:r>
      <w:r w:rsidRPr="00B47BD9">
        <w:rPr>
          <w:rFonts w:ascii="Times New Roman" w:hAnsi="Times New Roman" w:cs="Times New Roman"/>
          <w:i/>
          <w:iCs/>
          <w:sz w:val="24"/>
          <w:szCs w:val="24"/>
          <w:shd w:val="clear" w:color="auto" w:fill="FFFFFF"/>
        </w:rPr>
        <w:t>Journal of Developmental and Life-Course Criminology</w:t>
      </w:r>
      <w:r w:rsidRPr="00B47BD9">
        <w:rPr>
          <w:rFonts w:ascii="Times New Roman" w:hAnsi="Times New Roman" w:cs="Times New Roman"/>
          <w:sz w:val="24"/>
          <w:szCs w:val="24"/>
          <w:shd w:val="clear" w:color="auto" w:fill="FFFFFF"/>
        </w:rPr>
        <w:t>, </w:t>
      </w:r>
      <w:r w:rsidRPr="00B47BD9">
        <w:rPr>
          <w:rFonts w:ascii="Times New Roman" w:hAnsi="Times New Roman" w:cs="Times New Roman"/>
          <w:i/>
          <w:iCs/>
          <w:sz w:val="24"/>
          <w:szCs w:val="24"/>
          <w:shd w:val="clear" w:color="auto" w:fill="FFFFFF"/>
        </w:rPr>
        <w:t>1</w:t>
      </w:r>
      <w:r w:rsidRPr="00B47BD9">
        <w:rPr>
          <w:rFonts w:ascii="Times New Roman" w:hAnsi="Times New Roman" w:cs="Times New Roman"/>
          <w:sz w:val="24"/>
          <w:szCs w:val="24"/>
          <w:shd w:val="clear" w:color="auto" w:fill="FFFFFF"/>
        </w:rPr>
        <w:t>(3), 209-235.</w:t>
      </w:r>
    </w:p>
    <w:p w:rsidR="004F47FE" w:rsidRPr="00B47BD9" w:rsidRDefault="004F47FE" w:rsidP="00067BDD">
      <w:pPr>
        <w:spacing w:before="240" w:line="480" w:lineRule="auto"/>
        <w:ind w:left="720" w:hanging="720"/>
        <w:rPr>
          <w:rFonts w:ascii="Times New Roman" w:hAnsi="Times New Roman" w:cs="Times New Roman"/>
          <w:sz w:val="24"/>
          <w:szCs w:val="24"/>
          <w:shd w:val="clear" w:color="auto" w:fill="FFFFFF"/>
        </w:rPr>
      </w:pPr>
      <w:r w:rsidRPr="00B47BD9">
        <w:rPr>
          <w:rFonts w:ascii="Times New Roman" w:hAnsi="Times New Roman" w:cs="Times New Roman"/>
          <w:sz w:val="24"/>
          <w:szCs w:val="24"/>
          <w:shd w:val="clear" w:color="auto" w:fill="FFFFFF"/>
        </w:rPr>
        <w:t>Simpson, S., &amp; Paternoster, R. (2017). A rational choice theory of corporate crime. In </w:t>
      </w:r>
      <w:r w:rsidRPr="00B47BD9">
        <w:rPr>
          <w:rFonts w:ascii="Times New Roman" w:hAnsi="Times New Roman" w:cs="Times New Roman"/>
          <w:i/>
          <w:iCs/>
          <w:sz w:val="24"/>
          <w:szCs w:val="24"/>
          <w:shd w:val="clear" w:color="auto" w:fill="FFFFFF"/>
        </w:rPr>
        <w:t>Routine activity and rational choice</w:t>
      </w:r>
      <w:r w:rsidRPr="00B47BD9">
        <w:rPr>
          <w:rFonts w:ascii="Times New Roman" w:hAnsi="Times New Roman" w:cs="Times New Roman"/>
          <w:sz w:val="24"/>
          <w:szCs w:val="24"/>
          <w:shd w:val="clear" w:color="auto" w:fill="FFFFFF"/>
        </w:rPr>
        <w:t> (pp. 37-58). Routledge.</w:t>
      </w:r>
    </w:p>
    <w:p w:rsidR="004F47FE" w:rsidRPr="00B47BD9" w:rsidRDefault="004F47FE" w:rsidP="00067BDD">
      <w:pPr>
        <w:spacing w:before="240" w:line="480" w:lineRule="auto"/>
        <w:ind w:left="720" w:hanging="720"/>
        <w:rPr>
          <w:rFonts w:ascii="Times New Roman" w:hAnsi="Times New Roman" w:cs="Times New Roman"/>
          <w:sz w:val="24"/>
          <w:szCs w:val="24"/>
          <w:shd w:val="clear" w:color="auto" w:fill="FFFFFF"/>
        </w:rPr>
      </w:pPr>
      <w:r w:rsidRPr="00B47BD9">
        <w:rPr>
          <w:rFonts w:ascii="Times New Roman" w:hAnsi="Times New Roman" w:cs="Times New Roman"/>
          <w:sz w:val="24"/>
          <w:szCs w:val="24"/>
          <w:shd w:val="clear" w:color="auto" w:fill="FFFFFF"/>
        </w:rPr>
        <w:t>Walsh, D. (2017). Victim selection procedures among economic criminals: The rational choice perspective. In </w:t>
      </w:r>
      <w:r w:rsidRPr="00B47BD9">
        <w:rPr>
          <w:rFonts w:ascii="Times New Roman" w:hAnsi="Times New Roman" w:cs="Times New Roman"/>
          <w:i/>
          <w:iCs/>
          <w:sz w:val="24"/>
          <w:szCs w:val="24"/>
          <w:shd w:val="clear" w:color="auto" w:fill="FFFFFF"/>
        </w:rPr>
        <w:t>The reasoning criminal</w:t>
      </w:r>
      <w:r w:rsidRPr="00B47BD9">
        <w:rPr>
          <w:rFonts w:ascii="Times New Roman" w:hAnsi="Times New Roman" w:cs="Times New Roman"/>
          <w:sz w:val="24"/>
          <w:szCs w:val="24"/>
          <w:shd w:val="clear" w:color="auto" w:fill="FFFFFF"/>
        </w:rPr>
        <w:t> (pp. 39-52). Routledge.</w:t>
      </w:r>
    </w:p>
    <w:sectPr w:rsidR="004F47FE" w:rsidRPr="00B47BD9" w:rsidSect="00EA546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7BC7" w:rsidRDefault="00357BC7" w:rsidP="00EA546D">
      <w:pPr>
        <w:spacing w:after="0" w:line="240" w:lineRule="auto"/>
      </w:pPr>
      <w:r>
        <w:separator/>
      </w:r>
    </w:p>
  </w:endnote>
  <w:endnote w:type="continuationSeparator" w:id="0">
    <w:p w:rsidR="00357BC7" w:rsidRDefault="00357BC7" w:rsidP="00EA54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7BC7" w:rsidRDefault="00357BC7" w:rsidP="00EA546D">
      <w:pPr>
        <w:spacing w:after="0" w:line="240" w:lineRule="auto"/>
      </w:pPr>
      <w:r>
        <w:separator/>
      </w:r>
    </w:p>
  </w:footnote>
  <w:footnote w:type="continuationSeparator" w:id="0">
    <w:p w:rsidR="00357BC7" w:rsidRDefault="00357BC7" w:rsidP="00EA54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FC7" w:rsidRPr="00EA546D" w:rsidRDefault="00D34FC7" w:rsidP="00EA546D">
    <w:pPr>
      <w:pStyle w:val="Header"/>
      <w:rPr>
        <w:rFonts w:ascii="Times New Roman" w:hAnsi="Times New Roman" w:cs="Times New Roman"/>
        <w:sz w:val="24"/>
        <w:szCs w:val="24"/>
      </w:rPr>
    </w:pPr>
    <w:r w:rsidRPr="00EA546D">
      <w:rPr>
        <w:rFonts w:ascii="Times New Roman" w:hAnsi="Times New Roman" w:cs="Times New Roman"/>
        <w:sz w:val="24"/>
        <w:szCs w:val="24"/>
      </w:rPr>
      <w:t xml:space="preserve">RATIONALITY AND CRIMINAL BEHAVIOR </w:t>
    </w:r>
    <w:sdt>
      <w:sdtPr>
        <w:rPr>
          <w:rFonts w:ascii="Times New Roman" w:hAnsi="Times New Roman" w:cs="Times New Roman"/>
          <w:sz w:val="24"/>
          <w:szCs w:val="24"/>
        </w:rPr>
        <w:id w:val="-1332907930"/>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EA546D">
          <w:rPr>
            <w:rFonts w:ascii="Times New Roman" w:hAnsi="Times New Roman" w:cs="Times New Roman"/>
            <w:sz w:val="24"/>
            <w:szCs w:val="24"/>
          </w:rPr>
          <w:fldChar w:fldCharType="begin"/>
        </w:r>
        <w:r w:rsidRPr="00EA546D">
          <w:rPr>
            <w:rFonts w:ascii="Times New Roman" w:hAnsi="Times New Roman" w:cs="Times New Roman"/>
            <w:sz w:val="24"/>
            <w:szCs w:val="24"/>
          </w:rPr>
          <w:instrText xml:space="preserve"> PAGE   \* MERGEFORMAT </w:instrText>
        </w:r>
        <w:r w:rsidRPr="00EA546D">
          <w:rPr>
            <w:rFonts w:ascii="Times New Roman" w:hAnsi="Times New Roman" w:cs="Times New Roman"/>
            <w:sz w:val="24"/>
            <w:szCs w:val="24"/>
          </w:rPr>
          <w:fldChar w:fldCharType="separate"/>
        </w:r>
        <w:r w:rsidR="00D5536F">
          <w:rPr>
            <w:rFonts w:ascii="Times New Roman" w:hAnsi="Times New Roman" w:cs="Times New Roman"/>
            <w:noProof/>
            <w:sz w:val="24"/>
            <w:szCs w:val="24"/>
          </w:rPr>
          <w:t>12</w:t>
        </w:r>
        <w:r w:rsidRPr="00EA546D">
          <w:rPr>
            <w:rFonts w:ascii="Times New Roman" w:hAnsi="Times New Roman" w:cs="Times New Roman"/>
            <w:noProof/>
            <w:sz w:val="24"/>
            <w:szCs w:val="24"/>
          </w:rPr>
          <w:fldChar w:fldCharType="end"/>
        </w:r>
      </w:sdtContent>
    </w:sdt>
  </w:p>
  <w:p w:rsidR="00D34FC7" w:rsidRPr="00EA546D" w:rsidRDefault="00D34FC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FC7" w:rsidRPr="00EA546D" w:rsidRDefault="00D34FC7" w:rsidP="00EA546D">
    <w:pPr>
      <w:pStyle w:val="Header"/>
      <w:jc w:val="right"/>
      <w:rPr>
        <w:rFonts w:ascii="Times New Roman" w:hAnsi="Times New Roman" w:cs="Times New Roman"/>
        <w:sz w:val="24"/>
        <w:szCs w:val="24"/>
      </w:rPr>
    </w:pPr>
    <w:r w:rsidRPr="00EA546D">
      <w:rPr>
        <w:rFonts w:ascii="Times New Roman" w:hAnsi="Times New Roman" w:cs="Times New Roman"/>
        <w:sz w:val="24"/>
        <w:szCs w:val="24"/>
      </w:rPr>
      <w:t xml:space="preserve">Running head: RATIONALITY AND CRIMINAL BEHAVIOR </w:t>
    </w:r>
    <w:sdt>
      <w:sdtPr>
        <w:rPr>
          <w:rFonts w:ascii="Times New Roman" w:hAnsi="Times New Roman" w:cs="Times New Roman"/>
          <w:sz w:val="24"/>
          <w:szCs w:val="24"/>
        </w:rPr>
        <w:id w:val="-1173108677"/>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EA546D">
          <w:rPr>
            <w:rFonts w:ascii="Times New Roman" w:hAnsi="Times New Roman" w:cs="Times New Roman"/>
            <w:sz w:val="24"/>
            <w:szCs w:val="24"/>
          </w:rPr>
          <w:fldChar w:fldCharType="begin"/>
        </w:r>
        <w:r w:rsidRPr="00EA546D">
          <w:rPr>
            <w:rFonts w:ascii="Times New Roman" w:hAnsi="Times New Roman" w:cs="Times New Roman"/>
            <w:sz w:val="24"/>
            <w:szCs w:val="24"/>
          </w:rPr>
          <w:instrText xml:space="preserve"> PAGE   \* MERGEFORMAT </w:instrText>
        </w:r>
        <w:r w:rsidRPr="00EA546D">
          <w:rPr>
            <w:rFonts w:ascii="Times New Roman" w:hAnsi="Times New Roman" w:cs="Times New Roman"/>
            <w:sz w:val="24"/>
            <w:szCs w:val="24"/>
          </w:rPr>
          <w:fldChar w:fldCharType="separate"/>
        </w:r>
        <w:r w:rsidR="00D5536F">
          <w:rPr>
            <w:rFonts w:ascii="Times New Roman" w:hAnsi="Times New Roman" w:cs="Times New Roman"/>
            <w:noProof/>
            <w:sz w:val="24"/>
            <w:szCs w:val="24"/>
          </w:rPr>
          <w:t>1</w:t>
        </w:r>
        <w:r w:rsidRPr="00EA546D">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0363C8"/>
    <w:multiLevelType w:val="multilevel"/>
    <w:tmpl w:val="514AD6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8B7CD8"/>
    <w:multiLevelType w:val="multilevel"/>
    <w:tmpl w:val="7092ED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230DE8"/>
    <w:multiLevelType w:val="multilevel"/>
    <w:tmpl w:val="5B8096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1B43F8"/>
    <w:multiLevelType w:val="multilevel"/>
    <w:tmpl w:val="8D9658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EA3116"/>
    <w:multiLevelType w:val="multilevel"/>
    <w:tmpl w:val="94F06A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35D5E1A"/>
    <w:multiLevelType w:val="multilevel"/>
    <w:tmpl w:val="8E48C9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15553F8"/>
    <w:multiLevelType w:val="multilevel"/>
    <w:tmpl w:val="370AC3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7F734DB"/>
    <w:multiLevelType w:val="multilevel"/>
    <w:tmpl w:val="DEFAD3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9FC4004"/>
    <w:multiLevelType w:val="hybridMultilevel"/>
    <w:tmpl w:val="317A5F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02B67FE"/>
    <w:multiLevelType w:val="multilevel"/>
    <w:tmpl w:val="711CB1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6"/>
  </w:num>
  <w:num w:numId="3">
    <w:abstractNumId w:val="4"/>
  </w:num>
  <w:num w:numId="4">
    <w:abstractNumId w:val="1"/>
  </w:num>
  <w:num w:numId="5">
    <w:abstractNumId w:val="3"/>
  </w:num>
  <w:num w:numId="6">
    <w:abstractNumId w:val="5"/>
  </w:num>
  <w:num w:numId="7">
    <w:abstractNumId w:val="2"/>
  </w:num>
  <w:num w:numId="8">
    <w:abstractNumId w:val="0"/>
  </w:num>
  <w:num w:numId="9">
    <w:abstractNumId w:val="9"/>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Q0szCwMDQzMrM0NTZS0lEKTi0uzszPAykwrAUA5+5JtSwAAAA="/>
  </w:docVars>
  <w:rsids>
    <w:rsidRoot w:val="00550940"/>
    <w:rsid w:val="00041ABE"/>
    <w:rsid w:val="00061698"/>
    <w:rsid w:val="00067BDD"/>
    <w:rsid w:val="00085D36"/>
    <w:rsid w:val="000A6F6A"/>
    <w:rsid w:val="000B1D34"/>
    <w:rsid w:val="000B2A5E"/>
    <w:rsid w:val="001010D9"/>
    <w:rsid w:val="00123AD5"/>
    <w:rsid w:val="001474B7"/>
    <w:rsid w:val="001854CC"/>
    <w:rsid w:val="00191411"/>
    <w:rsid w:val="00192AC1"/>
    <w:rsid w:val="001D7C8D"/>
    <w:rsid w:val="001F6C04"/>
    <w:rsid w:val="00227A8F"/>
    <w:rsid w:val="00237FF1"/>
    <w:rsid w:val="0024010A"/>
    <w:rsid w:val="00265E2A"/>
    <w:rsid w:val="00283855"/>
    <w:rsid w:val="002C13FF"/>
    <w:rsid w:val="002C2425"/>
    <w:rsid w:val="002C3022"/>
    <w:rsid w:val="002C3557"/>
    <w:rsid w:val="00301E5B"/>
    <w:rsid w:val="00303C61"/>
    <w:rsid w:val="00305FE5"/>
    <w:rsid w:val="00314A42"/>
    <w:rsid w:val="00357BC7"/>
    <w:rsid w:val="0037242C"/>
    <w:rsid w:val="0037633B"/>
    <w:rsid w:val="003A07B5"/>
    <w:rsid w:val="003A7301"/>
    <w:rsid w:val="003C2942"/>
    <w:rsid w:val="003D11A2"/>
    <w:rsid w:val="003E0873"/>
    <w:rsid w:val="003E5B53"/>
    <w:rsid w:val="004223B6"/>
    <w:rsid w:val="004778E9"/>
    <w:rsid w:val="00485E93"/>
    <w:rsid w:val="00492F64"/>
    <w:rsid w:val="0049786C"/>
    <w:rsid w:val="004C5E29"/>
    <w:rsid w:val="004F2B9A"/>
    <w:rsid w:val="004F45F2"/>
    <w:rsid w:val="004F47FE"/>
    <w:rsid w:val="00502A1B"/>
    <w:rsid w:val="00516106"/>
    <w:rsid w:val="00540410"/>
    <w:rsid w:val="00541E96"/>
    <w:rsid w:val="00550940"/>
    <w:rsid w:val="00560471"/>
    <w:rsid w:val="00572BEB"/>
    <w:rsid w:val="00576315"/>
    <w:rsid w:val="00590D6A"/>
    <w:rsid w:val="00596FD6"/>
    <w:rsid w:val="005C5C52"/>
    <w:rsid w:val="005C7543"/>
    <w:rsid w:val="005D5EF5"/>
    <w:rsid w:val="00643CE0"/>
    <w:rsid w:val="00647714"/>
    <w:rsid w:val="00657E9C"/>
    <w:rsid w:val="006B679C"/>
    <w:rsid w:val="006F0883"/>
    <w:rsid w:val="006F1870"/>
    <w:rsid w:val="00743D4E"/>
    <w:rsid w:val="0074772E"/>
    <w:rsid w:val="00756580"/>
    <w:rsid w:val="007B15B5"/>
    <w:rsid w:val="007D4160"/>
    <w:rsid w:val="00822DB3"/>
    <w:rsid w:val="00833267"/>
    <w:rsid w:val="00876B0B"/>
    <w:rsid w:val="00881D1A"/>
    <w:rsid w:val="008A7DB7"/>
    <w:rsid w:val="008E0865"/>
    <w:rsid w:val="008E76AC"/>
    <w:rsid w:val="008F31A4"/>
    <w:rsid w:val="00906E76"/>
    <w:rsid w:val="00910EA4"/>
    <w:rsid w:val="00982727"/>
    <w:rsid w:val="00985A8F"/>
    <w:rsid w:val="009951C2"/>
    <w:rsid w:val="00995FD6"/>
    <w:rsid w:val="009A1C3D"/>
    <w:rsid w:val="009B3352"/>
    <w:rsid w:val="009B35AB"/>
    <w:rsid w:val="009C22F5"/>
    <w:rsid w:val="009D5523"/>
    <w:rsid w:val="009E1EC9"/>
    <w:rsid w:val="009E2029"/>
    <w:rsid w:val="009E77A5"/>
    <w:rsid w:val="009F396C"/>
    <w:rsid w:val="009F5099"/>
    <w:rsid w:val="00A21C54"/>
    <w:rsid w:val="00A62D04"/>
    <w:rsid w:val="00AA1608"/>
    <w:rsid w:val="00AB0DA8"/>
    <w:rsid w:val="00AB2AB7"/>
    <w:rsid w:val="00AE1EB4"/>
    <w:rsid w:val="00B02C41"/>
    <w:rsid w:val="00B156AA"/>
    <w:rsid w:val="00B202B6"/>
    <w:rsid w:val="00B35D33"/>
    <w:rsid w:val="00B413C8"/>
    <w:rsid w:val="00B47BD9"/>
    <w:rsid w:val="00B8137F"/>
    <w:rsid w:val="00BC2F87"/>
    <w:rsid w:val="00C104CB"/>
    <w:rsid w:val="00C139B3"/>
    <w:rsid w:val="00C239BC"/>
    <w:rsid w:val="00C50C97"/>
    <w:rsid w:val="00C61644"/>
    <w:rsid w:val="00CC63EA"/>
    <w:rsid w:val="00CE0DE4"/>
    <w:rsid w:val="00CF4344"/>
    <w:rsid w:val="00D34FC7"/>
    <w:rsid w:val="00D5536F"/>
    <w:rsid w:val="00D57AEF"/>
    <w:rsid w:val="00D8513E"/>
    <w:rsid w:val="00DB2435"/>
    <w:rsid w:val="00DE0D19"/>
    <w:rsid w:val="00DF4EFC"/>
    <w:rsid w:val="00E030B7"/>
    <w:rsid w:val="00E06ABC"/>
    <w:rsid w:val="00E1517E"/>
    <w:rsid w:val="00E241FA"/>
    <w:rsid w:val="00EA4861"/>
    <w:rsid w:val="00EA546D"/>
    <w:rsid w:val="00EB5962"/>
    <w:rsid w:val="00EE24B5"/>
    <w:rsid w:val="00EF0312"/>
    <w:rsid w:val="00F36703"/>
    <w:rsid w:val="00F5523D"/>
    <w:rsid w:val="00FC04A2"/>
    <w:rsid w:val="00FE16B2"/>
    <w:rsid w:val="00FE5F63"/>
    <w:rsid w:val="00FF57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40C401-6ADB-4183-ADC2-A80B115FC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F396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
    <w:name w:val="p"/>
    <w:basedOn w:val="Normal"/>
    <w:rsid w:val="00EA546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A546D"/>
    <w:rPr>
      <w:color w:val="0000FF"/>
      <w:u w:val="single"/>
    </w:rPr>
  </w:style>
  <w:style w:type="character" w:styleId="Emphasis">
    <w:name w:val="Emphasis"/>
    <w:basedOn w:val="DefaultParagraphFont"/>
    <w:uiPriority w:val="20"/>
    <w:qFormat/>
    <w:rsid w:val="00EA546D"/>
    <w:rPr>
      <w:i/>
      <w:iCs/>
    </w:rPr>
  </w:style>
  <w:style w:type="paragraph" w:styleId="Header">
    <w:name w:val="header"/>
    <w:basedOn w:val="Normal"/>
    <w:link w:val="HeaderChar"/>
    <w:uiPriority w:val="99"/>
    <w:unhideWhenUsed/>
    <w:rsid w:val="00EA54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546D"/>
  </w:style>
  <w:style w:type="paragraph" w:styleId="Footer">
    <w:name w:val="footer"/>
    <w:basedOn w:val="Normal"/>
    <w:link w:val="FooterChar"/>
    <w:uiPriority w:val="99"/>
    <w:unhideWhenUsed/>
    <w:rsid w:val="00EA54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546D"/>
  </w:style>
  <w:style w:type="paragraph" w:styleId="z-TopofForm">
    <w:name w:val="HTML Top of Form"/>
    <w:basedOn w:val="Normal"/>
    <w:next w:val="Normal"/>
    <w:link w:val="z-TopofFormChar"/>
    <w:hidden/>
    <w:uiPriority w:val="99"/>
    <w:semiHidden/>
    <w:unhideWhenUsed/>
    <w:rsid w:val="004223B6"/>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4223B6"/>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4223B6"/>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4223B6"/>
    <w:rPr>
      <w:rFonts w:ascii="Arial" w:eastAsia="Times New Roman" w:hAnsi="Arial" w:cs="Arial"/>
      <w:vanish/>
      <w:sz w:val="16"/>
      <w:szCs w:val="16"/>
    </w:rPr>
  </w:style>
  <w:style w:type="paragraph" w:styleId="ListParagraph">
    <w:name w:val="List Paragraph"/>
    <w:basedOn w:val="Normal"/>
    <w:uiPriority w:val="34"/>
    <w:qFormat/>
    <w:rsid w:val="00C139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0762237">
      <w:bodyDiv w:val="1"/>
      <w:marLeft w:val="0"/>
      <w:marRight w:val="0"/>
      <w:marTop w:val="0"/>
      <w:marBottom w:val="0"/>
      <w:divBdr>
        <w:top w:val="none" w:sz="0" w:space="0" w:color="auto"/>
        <w:left w:val="none" w:sz="0" w:space="0" w:color="auto"/>
        <w:bottom w:val="none" w:sz="0" w:space="0" w:color="auto"/>
        <w:right w:val="none" w:sz="0" w:space="0" w:color="auto"/>
      </w:divBdr>
      <w:divsChild>
        <w:div w:id="162664728">
          <w:marLeft w:val="0"/>
          <w:marRight w:val="0"/>
          <w:marTop w:val="0"/>
          <w:marBottom w:val="0"/>
          <w:divBdr>
            <w:top w:val="none" w:sz="0" w:space="0" w:color="auto"/>
            <w:left w:val="none" w:sz="0" w:space="0" w:color="auto"/>
            <w:bottom w:val="single" w:sz="6" w:space="3" w:color="D0D4D7"/>
            <w:right w:val="none" w:sz="0" w:space="0" w:color="auto"/>
          </w:divBdr>
          <w:divsChild>
            <w:div w:id="673413022">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490216835">
      <w:bodyDiv w:val="1"/>
      <w:marLeft w:val="0"/>
      <w:marRight w:val="0"/>
      <w:marTop w:val="0"/>
      <w:marBottom w:val="0"/>
      <w:divBdr>
        <w:top w:val="none" w:sz="0" w:space="0" w:color="auto"/>
        <w:left w:val="none" w:sz="0" w:space="0" w:color="auto"/>
        <w:bottom w:val="none" w:sz="0" w:space="0" w:color="auto"/>
        <w:right w:val="none" w:sz="0" w:space="0" w:color="auto"/>
      </w:divBdr>
    </w:div>
    <w:div w:id="1004821504">
      <w:bodyDiv w:val="1"/>
      <w:marLeft w:val="0"/>
      <w:marRight w:val="0"/>
      <w:marTop w:val="0"/>
      <w:marBottom w:val="0"/>
      <w:divBdr>
        <w:top w:val="none" w:sz="0" w:space="0" w:color="auto"/>
        <w:left w:val="none" w:sz="0" w:space="0" w:color="auto"/>
        <w:bottom w:val="none" w:sz="0" w:space="0" w:color="auto"/>
        <w:right w:val="none" w:sz="0" w:space="0" w:color="auto"/>
      </w:divBdr>
    </w:div>
    <w:div w:id="1371997985">
      <w:bodyDiv w:val="1"/>
      <w:marLeft w:val="0"/>
      <w:marRight w:val="0"/>
      <w:marTop w:val="0"/>
      <w:marBottom w:val="0"/>
      <w:divBdr>
        <w:top w:val="none" w:sz="0" w:space="0" w:color="auto"/>
        <w:left w:val="none" w:sz="0" w:space="0" w:color="auto"/>
        <w:bottom w:val="none" w:sz="0" w:space="0" w:color="auto"/>
        <w:right w:val="none" w:sz="0" w:space="0" w:color="auto"/>
      </w:divBdr>
    </w:div>
    <w:div w:id="1400401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668</TotalTime>
  <Pages>12</Pages>
  <Words>2985</Words>
  <Characters>17019</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2018-12-13T09:48:00Z</dcterms:created>
  <dcterms:modified xsi:type="dcterms:W3CDTF">2018-12-13T21:20:00Z</dcterms:modified>
</cp:coreProperties>
</file>