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6303" w:rsidRPr="00C57DAF" w:rsidRDefault="00096303" w:rsidP="00C57DAF">
      <w:pPr>
        <w:spacing w:after="160" w:line="480" w:lineRule="auto"/>
        <w:jc w:val="both"/>
        <w:rPr>
          <w:rFonts w:ascii="Times New Roman" w:hAnsi="Times New Roman" w:cs="Times New Roman"/>
          <w:sz w:val="24"/>
          <w:szCs w:val="24"/>
        </w:rPr>
      </w:pPr>
    </w:p>
    <w:p w:rsidR="00C57DAF" w:rsidRPr="00C57DAF" w:rsidRDefault="00C57DAF" w:rsidP="00C57DAF">
      <w:pPr>
        <w:spacing w:after="160" w:line="480" w:lineRule="auto"/>
        <w:jc w:val="center"/>
        <w:rPr>
          <w:rFonts w:ascii="Times New Roman" w:hAnsi="Times New Roman" w:cs="Times New Roman"/>
          <w:sz w:val="24"/>
          <w:szCs w:val="24"/>
        </w:rPr>
      </w:pPr>
    </w:p>
    <w:p w:rsidR="00C57DAF" w:rsidRPr="00C57DAF" w:rsidRDefault="00C57DAF" w:rsidP="00C57DAF">
      <w:pPr>
        <w:spacing w:after="160" w:line="480" w:lineRule="auto"/>
        <w:jc w:val="center"/>
        <w:rPr>
          <w:rFonts w:ascii="Times New Roman" w:hAnsi="Times New Roman" w:cs="Times New Roman"/>
          <w:sz w:val="24"/>
          <w:szCs w:val="24"/>
        </w:rPr>
      </w:pPr>
    </w:p>
    <w:p w:rsidR="00C57DAF" w:rsidRPr="00C57DAF" w:rsidRDefault="00C57DAF" w:rsidP="00C57DAF">
      <w:pPr>
        <w:spacing w:after="160" w:line="480" w:lineRule="auto"/>
        <w:jc w:val="center"/>
        <w:rPr>
          <w:rFonts w:ascii="Times New Roman" w:hAnsi="Times New Roman" w:cs="Times New Roman"/>
          <w:sz w:val="24"/>
          <w:szCs w:val="24"/>
        </w:rPr>
      </w:pPr>
    </w:p>
    <w:p w:rsidR="00C57DAF" w:rsidRPr="00C57DAF" w:rsidRDefault="00C57DAF" w:rsidP="00C57DAF">
      <w:pPr>
        <w:spacing w:after="160" w:line="480" w:lineRule="auto"/>
        <w:jc w:val="center"/>
        <w:rPr>
          <w:rFonts w:ascii="Times New Roman" w:hAnsi="Times New Roman" w:cs="Times New Roman"/>
          <w:sz w:val="24"/>
          <w:szCs w:val="24"/>
        </w:rPr>
      </w:pPr>
    </w:p>
    <w:p w:rsidR="00C57DAF" w:rsidRPr="00C57DAF" w:rsidRDefault="00C57DAF" w:rsidP="00C57DAF">
      <w:pPr>
        <w:spacing w:after="160" w:line="480" w:lineRule="auto"/>
        <w:jc w:val="center"/>
        <w:rPr>
          <w:rFonts w:ascii="Times New Roman" w:hAnsi="Times New Roman" w:cs="Times New Roman"/>
          <w:sz w:val="24"/>
          <w:szCs w:val="24"/>
        </w:rPr>
      </w:pPr>
    </w:p>
    <w:p w:rsidR="00C57DAF" w:rsidRPr="00C57DAF" w:rsidRDefault="00C57DAF" w:rsidP="00C57DAF">
      <w:pPr>
        <w:spacing w:after="160" w:line="480" w:lineRule="auto"/>
        <w:jc w:val="center"/>
        <w:rPr>
          <w:rFonts w:ascii="Times New Roman" w:hAnsi="Times New Roman" w:cs="Times New Roman"/>
          <w:sz w:val="24"/>
          <w:szCs w:val="24"/>
        </w:rPr>
      </w:pPr>
    </w:p>
    <w:p w:rsidR="00C57DAF" w:rsidRPr="00C57DAF" w:rsidRDefault="00C57DAF" w:rsidP="00C57DAF">
      <w:pPr>
        <w:spacing w:after="160" w:line="480" w:lineRule="auto"/>
        <w:jc w:val="center"/>
        <w:rPr>
          <w:rFonts w:ascii="Times New Roman" w:hAnsi="Times New Roman" w:cs="Times New Roman"/>
          <w:sz w:val="24"/>
          <w:szCs w:val="24"/>
        </w:rPr>
      </w:pPr>
    </w:p>
    <w:p w:rsidR="00C57DAF" w:rsidRPr="00C57DAF" w:rsidRDefault="00C57DAF" w:rsidP="00C57DAF">
      <w:pPr>
        <w:spacing w:after="160" w:line="480" w:lineRule="auto"/>
        <w:jc w:val="center"/>
        <w:rPr>
          <w:rFonts w:ascii="Times New Roman" w:hAnsi="Times New Roman" w:cs="Times New Roman"/>
          <w:sz w:val="24"/>
          <w:szCs w:val="24"/>
        </w:rPr>
      </w:pPr>
      <w:r w:rsidRPr="00C57DAF">
        <w:rPr>
          <w:rFonts w:ascii="Times New Roman" w:hAnsi="Times New Roman" w:cs="Times New Roman"/>
          <w:sz w:val="24"/>
          <w:szCs w:val="24"/>
        </w:rPr>
        <w:t>Financial ratios</w:t>
      </w:r>
    </w:p>
    <w:p w:rsidR="00C57DAF" w:rsidRPr="00C57DAF" w:rsidRDefault="00C57DAF" w:rsidP="00C57DAF">
      <w:pPr>
        <w:spacing w:after="160" w:line="480" w:lineRule="auto"/>
        <w:jc w:val="center"/>
        <w:rPr>
          <w:rFonts w:ascii="Times New Roman" w:hAnsi="Times New Roman" w:cs="Times New Roman"/>
          <w:sz w:val="24"/>
          <w:szCs w:val="24"/>
        </w:rPr>
      </w:pPr>
      <w:r w:rsidRPr="00C57DAF">
        <w:rPr>
          <w:rFonts w:ascii="Times New Roman" w:hAnsi="Times New Roman" w:cs="Times New Roman"/>
          <w:sz w:val="24"/>
          <w:szCs w:val="24"/>
        </w:rPr>
        <w:t>Student’s name</w:t>
      </w:r>
    </w:p>
    <w:p w:rsidR="00C57DAF" w:rsidRPr="00C57DAF" w:rsidRDefault="00C57DAF" w:rsidP="00C57DAF">
      <w:pPr>
        <w:spacing w:after="160" w:line="480" w:lineRule="auto"/>
        <w:jc w:val="center"/>
        <w:rPr>
          <w:rFonts w:ascii="Times New Roman" w:hAnsi="Times New Roman" w:cs="Times New Roman"/>
          <w:sz w:val="24"/>
          <w:szCs w:val="24"/>
        </w:rPr>
      </w:pPr>
      <w:r w:rsidRPr="00C57DAF">
        <w:rPr>
          <w:rFonts w:ascii="Times New Roman" w:hAnsi="Times New Roman" w:cs="Times New Roman"/>
          <w:sz w:val="24"/>
          <w:szCs w:val="24"/>
        </w:rPr>
        <w:t>Institutional affiliation</w:t>
      </w:r>
    </w:p>
    <w:p w:rsidR="00C57DAF" w:rsidRPr="00C57DAF" w:rsidRDefault="00C57DAF" w:rsidP="00C57DAF">
      <w:pPr>
        <w:spacing w:after="160" w:line="480" w:lineRule="auto"/>
        <w:jc w:val="center"/>
        <w:rPr>
          <w:rFonts w:ascii="Times New Roman" w:hAnsi="Times New Roman" w:cs="Times New Roman"/>
          <w:sz w:val="24"/>
          <w:szCs w:val="24"/>
        </w:rPr>
      </w:pPr>
    </w:p>
    <w:p w:rsidR="00C57DAF" w:rsidRPr="00C57DAF" w:rsidRDefault="00C57DAF" w:rsidP="00C57DAF">
      <w:pPr>
        <w:spacing w:after="160" w:line="480" w:lineRule="auto"/>
        <w:jc w:val="center"/>
        <w:rPr>
          <w:rFonts w:ascii="Times New Roman" w:hAnsi="Times New Roman" w:cs="Times New Roman"/>
          <w:sz w:val="24"/>
          <w:szCs w:val="24"/>
        </w:rPr>
      </w:pPr>
    </w:p>
    <w:p w:rsidR="00C57DAF" w:rsidRPr="00C57DAF" w:rsidRDefault="00C57DAF" w:rsidP="00C57DAF">
      <w:pPr>
        <w:spacing w:after="160" w:line="480" w:lineRule="auto"/>
        <w:jc w:val="center"/>
        <w:rPr>
          <w:rFonts w:ascii="Times New Roman" w:hAnsi="Times New Roman" w:cs="Times New Roman"/>
          <w:sz w:val="24"/>
          <w:szCs w:val="24"/>
        </w:rPr>
      </w:pPr>
    </w:p>
    <w:p w:rsidR="00C57DAF" w:rsidRPr="00C57DAF" w:rsidRDefault="00C57DAF" w:rsidP="00C57DAF">
      <w:pPr>
        <w:spacing w:after="160" w:line="480" w:lineRule="auto"/>
        <w:jc w:val="center"/>
        <w:rPr>
          <w:rFonts w:ascii="Times New Roman" w:hAnsi="Times New Roman" w:cs="Times New Roman"/>
          <w:sz w:val="24"/>
          <w:szCs w:val="24"/>
        </w:rPr>
      </w:pPr>
    </w:p>
    <w:p w:rsidR="00C57DAF" w:rsidRPr="00C57DAF" w:rsidRDefault="00C57DAF" w:rsidP="00C57DAF">
      <w:pPr>
        <w:spacing w:after="160" w:line="480" w:lineRule="auto"/>
        <w:jc w:val="center"/>
        <w:rPr>
          <w:rFonts w:ascii="Times New Roman" w:hAnsi="Times New Roman" w:cs="Times New Roman"/>
          <w:sz w:val="24"/>
          <w:szCs w:val="24"/>
        </w:rPr>
      </w:pPr>
    </w:p>
    <w:p w:rsidR="00C57DAF" w:rsidRPr="00C57DAF" w:rsidRDefault="00C57DAF" w:rsidP="00C57DAF">
      <w:pPr>
        <w:spacing w:after="160" w:line="480" w:lineRule="auto"/>
        <w:jc w:val="center"/>
        <w:rPr>
          <w:rFonts w:ascii="Times New Roman" w:hAnsi="Times New Roman" w:cs="Times New Roman"/>
          <w:sz w:val="24"/>
          <w:szCs w:val="24"/>
        </w:rPr>
      </w:pPr>
    </w:p>
    <w:p w:rsidR="00C57DAF" w:rsidRPr="00C57DAF" w:rsidRDefault="00C57DAF" w:rsidP="00C57DAF">
      <w:pPr>
        <w:spacing w:after="160" w:line="480" w:lineRule="auto"/>
        <w:jc w:val="center"/>
        <w:rPr>
          <w:rFonts w:ascii="Times New Roman" w:hAnsi="Times New Roman" w:cs="Times New Roman"/>
          <w:sz w:val="24"/>
          <w:szCs w:val="24"/>
        </w:rPr>
      </w:pPr>
    </w:p>
    <w:p w:rsidR="00035359" w:rsidRPr="00C57DAF" w:rsidRDefault="00035359" w:rsidP="00C57DAF">
      <w:pPr>
        <w:spacing w:after="160" w:line="480" w:lineRule="auto"/>
        <w:jc w:val="both"/>
        <w:rPr>
          <w:rFonts w:ascii="Times New Roman" w:hAnsi="Times New Roman" w:cs="Times New Roman"/>
          <w:sz w:val="24"/>
          <w:szCs w:val="24"/>
        </w:rPr>
      </w:pPr>
      <w:r w:rsidRPr="00C57DAF">
        <w:rPr>
          <w:rFonts w:ascii="Times New Roman" w:hAnsi="Times New Roman" w:cs="Times New Roman"/>
          <w:sz w:val="24"/>
          <w:szCs w:val="24"/>
        </w:rPr>
        <w:lastRenderedPageBreak/>
        <w:t>Current Ratio is calculated by divided current assets by current liabilities</w:t>
      </w:r>
      <w:r w:rsidR="00C57DAF" w:rsidRPr="00C57DAF">
        <w:rPr>
          <w:rFonts w:ascii="Times New Roman" w:hAnsi="Times New Roman" w:cs="Times New Roman"/>
          <w:sz w:val="24"/>
          <w:szCs w:val="24"/>
          <w:shd w:val="clear" w:color="auto" w:fill="FFFFFF"/>
        </w:rPr>
        <w:t xml:space="preserve"> (</w:t>
      </w:r>
      <w:proofErr w:type="spellStart"/>
      <w:r w:rsidR="00C57DAF" w:rsidRPr="00C57DAF">
        <w:rPr>
          <w:rFonts w:ascii="Times New Roman" w:hAnsi="Times New Roman" w:cs="Times New Roman"/>
          <w:sz w:val="24"/>
          <w:szCs w:val="24"/>
          <w:shd w:val="clear" w:color="auto" w:fill="FFFFFF"/>
        </w:rPr>
        <w:t>Frid</w:t>
      </w:r>
      <w:r w:rsidR="00C57DAF" w:rsidRPr="00C57DAF">
        <w:rPr>
          <w:rFonts w:ascii="Times New Roman" w:hAnsi="Times New Roman" w:cs="Times New Roman"/>
          <w:sz w:val="24"/>
          <w:szCs w:val="24"/>
          <w:shd w:val="clear" w:color="auto" w:fill="FFFFFF"/>
        </w:rPr>
        <w:t>son</w:t>
      </w:r>
      <w:proofErr w:type="spellEnd"/>
      <w:r w:rsidR="00C57DAF" w:rsidRPr="00C57DAF">
        <w:rPr>
          <w:rFonts w:ascii="Times New Roman" w:hAnsi="Times New Roman" w:cs="Times New Roman"/>
          <w:sz w:val="24"/>
          <w:szCs w:val="24"/>
          <w:shd w:val="clear" w:color="auto" w:fill="FFFFFF"/>
        </w:rPr>
        <w:t xml:space="preserve"> and Alvarez, 2011)</w:t>
      </w:r>
      <w:r w:rsidRPr="00C57DAF">
        <w:rPr>
          <w:rFonts w:ascii="Times New Roman" w:hAnsi="Times New Roman" w:cs="Times New Roman"/>
          <w:sz w:val="24"/>
          <w:szCs w:val="24"/>
        </w:rPr>
        <w:t>. This is a liquidity ratio that indicates whether a business can meet its short-term obligations. In the financial years 2018, 2017, 2016 and 2015, the current ratios for the company were 3.9, 5.1, 6.3 and 4.7 respectively.  It is clear t</w:t>
      </w:r>
      <w:bookmarkStart w:id="0" w:name="_GoBack"/>
      <w:bookmarkEnd w:id="0"/>
      <w:r w:rsidRPr="00C57DAF">
        <w:rPr>
          <w:rFonts w:ascii="Times New Roman" w:hAnsi="Times New Roman" w:cs="Times New Roman"/>
          <w:sz w:val="24"/>
          <w:szCs w:val="24"/>
        </w:rPr>
        <w:t xml:space="preserve">hat the company is well poised to cover its short term obligations, and had the ratio been less than 1.0 then that can indicate trouble for the company. </w:t>
      </w:r>
    </w:p>
    <w:p w:rsidR="00035359" w:rsidRPr="00C57DAF" w:rsidRDefault="00035359" w:rsidP="00C57DAF">
      <w:pPr>
        <w:spacing w:after="160" w:line="480" w:lineRule="auto"/>
        <w:jc w:val="both"/>
        <w:rPr>
          <w:rFonts w:ascii="Times New Roman" w:hAnsi="Times New Roman" w:cs="Times New Roman"/>
          <w:sz w:val="24"/>
          <w:szCs w:val="24"/>
        </w:rPr>
      </w:pPr>
      <w:r w:rsidRPr="00C57DAF">
        <w:rPr>
          <w:rFonts w:ascii="Times New Roman" w:hAnsi="Times New Roman" w:cs="Times New Roman"/>
          <w:sz w:val="24"/>
          <w:szCs w:val="24"/>
        </w:rPr>
        <w:t xml:space="preserve">Debt to equity ratio is calculated by dividing total liabilities with shareholder equity. This is a type of gearing ratio that indicates the proportion of financing due to external capital providers such as investors. A higher ratio shows that more investment is in the form of debts.  For the financial years 2018, 2017, 2016 and 2015, the debts to equity ratios were 0.31, 0.29, 0.20 and 0.23 respectively. This continues to show that the company’s major source of financing still comes from the shareholders as opposed to external providers of debts and loans. </w:t>
      </w:r>
    </w:p>
    <w:p w:rsidR="00AD6E1F" w:rsidRPr="00C57DAF" w:rsidRDefault="00AD6E1F" w:rsidP="00C57DAF">
      <w:pPr>
        <w:spacing w:after="160" w:line="480" w:lineRule="auto"/>
        <w:jc w:val="both"/>
        <w:rPr>
          <w:rFonts w:ascii="Times New Roman" w:hAnsi="Times New Roman" w:cs="Times New Roman"/>
          <w:sz w:val="24"/>
          <w:szCs w:val="24"/>
        </w:rPr>
      </w:pPr>
      <w:r w:rsidRPr="00C57DAF">
        <w:rPr>
          <w:rFonts w:ascii="Times New Roman" w:hAnsi="Times New Roman" w:cs="Times New Roman"/>
          <w:sz w:val="24"/>
          <w:szCs w:val="24"/>
        </w:rPr>
        <w:t xml:space="preserve">The free cash flow is a type of efficiency ratio estimates the extent to which a business generates cash it uses for expansion. It is calculated when capital expenditures are subtracted from the operating cash flow. It is the excess funds a firm generates after paying both capital expenditures and operating expenses. For the financial years discussed in this exercise, the free cash flow is negative because the operating cash flow is negative, while expenditures are not sufficient enough to turn the tide and covert free cash flow to a positive figure. </w:t>
      </w:r>
    </w:p>
    <w:p w:rsidR="00AD6E1F" w:rsidRPr="00C57DAF" w:rsidRDefault="00AD6E1F" w:rsidP="00C57DAF">
      <w:pPr>
        <w:spacing w:after="160" w:line="480" w:lineRule="auto"/>
        <w:jc w:val="both"/>
        <w:rPr>
          <w:rFonts w:ascii="Times New Roman" w:hAnsi="Times New Roman" w:cs="Times New Roman"/>
          <w:sz w:val="24"/>
          <w:szCs w:val="24"/>
        </w:rPr>
      </w:pPr>
      <w:r w:rsidRPr="00C57DAF">
        <w:rPr>
          <w:rFonts w:ascii="Times New Roman" w:hAnsi="Times New Roman" w:cs="Times New Roman"/>
          <w:sz w:val="24"/>
          <w:szCs w:val="24"/>
        </w:rPr>
        <w:t xml:space="preserve">Earnings per share (EPS) estimate the level of net profit for every share of the shares outstanding. This means that it it’s the amount of money for every share that every share would share if the profit made in the year were to be distributed for all the outstanding shares at the close of the financial year.  For the financial years 2018, 2017, 2016, and 2015, the EPS were </w:t>
      </w:r>
      <w:r w:rsidRPr="00C57DAF">
        <w:rPr>
          <w:rFonts w:ascii="Times New Roman" w:hAnsi="Times New Roman" w:cs="Times New Roman"/>
          <w:sz w:val="24"/>
          <w:szCs w:val="24"/>
        </w:rPr>
        <w:lastRenderedPageBreak/>
        <w:t xml:space="preserve">0.68, 0.31. 0.53 </w:t>
      </w:r>
      <w:proofErr w:type="gramStart"/>
      <w:r w:rsidRPr="00C57DAF">
        <w:rPr>
          <w:rFonts w:ascii="Times New Roman" w:hAnsi="Times New Roman" w:cs="Times New Roman"/>
          <w:sz w:val="24"/>
          <w:szCs w:val="24"/>
        </w:rPr>
        <w:t>and</w:t>
      </w:r>
      <w:proofErr w:type="gramEnd"/>
      <w:r w:rsidRPr="00C57DAF">
        <w:rPr>
          <w:rFonts w:ascii="Times New Roman" w:hAnsi="Times New Roman" w:cs="Times New Roman"/>
          <w:sz w:val="24"/>
          <w:szCs w:val="24"/>
        </w:rPr>
        <w:t xml:space="preserve"> 0.50 respectively.  Shareholders realized greater theoretical earnings in 2018 compared to 2017, while for 2016 and 2015, the EPS were fairly even. </w:t>
      </w:r>
    </w:p>
    <w:p w:rsidR="00AD6E1F" w:rsidRPr="00C57DAF" w:rsidRDefault="00AD6E1F" w:rsidP="00C57DAF">
      <w:pPr>
        <w:spacing w:after="160" w:line="480" w:lineRule="auto"/>
        <w:jc w:val="both"/>
        <w:rPr>
          <w:rFonts w:ascii="Times New Roman" w:hAnsi="Times New Roman" w:cs="Times New Roman"/>
          <w:sz w:val="24"/>
          <w:szCs w:val="24"/>
        </w:rPr>
      </w:pPr>
      <w:r w:rsidRPr="00C57DAF">
        <w:rPr>
          <w:rFonts w:ascii="Times New Roman" w:hAnsi="Times New Roman" w:cs="Times New Roman"/>
          <w:sz w:val="24"/>
          <w:szCs w:val="24"/>
        </w:rPr>
        <w:t xml:space="preserve">Price/Earnings ratio indicates what the market should be paying for the stock based on the </w:t>
      </w:r>
      <w:r w:rsidR="003F4CDD" w:rsidRPr="00C57DAF">
        <w:rPr>
          <w:rFonts w:ascii="Times New Roman" w:hAnsi="Times New Roman" w:cs="Times New Roman"/>
          <w:sz w:val="24"/>
          <w:szCs w:val="24"/>
        </w:rPr>
        <w:t>current earnings</w:t>
      </w:r>
      <w:r w:rsidRPr="00C57DAF">
        <w:rPr>
          <w:rFonts w:ascii="Times New Roman" w:hAnsi="Times New Roman" w:cs="Times New Roman"/>
          <w:sz w:val="24"/>
          <w:szCs w:val="24"/>
        </w:rPr>
        <w:t xml:space="preserve">. </w:t>
      </w:r>
      <w:r w:rsidR="003F4CDD" w:rsidRPr="00C57DAF">
        <w:rPr>
          <w:rFonts w:ascii="Times New Roman" w:hAnsi="Times New Roman" w:cs="Times New Roman"/>
          <w:sz w:val="24"/>
          <w:szCs w:val="24"/>
        </w:rPr>
        <w:t xml:space="preserve">This ratio is important to market analysts who seek to judge the fair stock price.  P/E ratio of $1531, $3348, $1417 and $1569 against market prices for the stock of $1045, $1053, $792 and $778 for the financial years 2018, 2017, 2016 and 2015 respectively indicates a stock that is genuinely underpriced. </w:t>
      </w:r>
    </w:p>
    <w:p w:rsidR="003F4CDD" w:rsidRPr="00C57DAF" w:rsidRDefault="003F4CDD" w:rsidP="00C57DAF">
      <w:pPr>
        <w:spacing w:after="160" w:line="480" w:lineRule="auto"/>
        <w:jc w:val="both"/>
        <w:rPr>
          <w:rFonts w:ascii="Times New Roman" w:hAnsi="Times New Roman" w:cs="Times New Roman"/>
          <w:sz w:val="24"/>
          <w:szCs w:val="24"/>
        </w:rPr>
      </w:pPr>
      <w:r w:rsidRPr="00C57DAF">
        <w:rPr>
          <w:rFonts w:ascii="Times New Roman" w:hAnsi="Times New Roman" w:cs="Times New Roman"/>
          <w:sz w:val="24"/>
          <w:szCs w:val="24"/>
        </w:rPr>
        <w:t>Return on Equity is calculated as a percentage of net income divided by shareholder equity. On the other hand, net profit margin is also calculated by dividing net profit by revenue. In the financial year 2017, the company experienced a dip in both its earnings from equity and revenue perspective, while financial years 2015 and 2016 indicated a certain degree of relative constancy. The company later rebounded in</w:t>
      </w:r>
      <w:r w:rsidR="00C57DAF" w:rsidRPr="00C57DAF">
        <w:rPr>
          <w:rFonts w:ascii="Times New Roman" w:hAnsi="Times New Roman" w:cs="Times New Roman"/>
          <w:sz w:val="24"/>
          <w:szCs w:val="24"/>
        </w:rPr>
        <w:t xml:space="preserve"> the</w:t>
      </w:r>
      <w:r w:rsidRPr="00C57DAF">
        <w:rPr>
          <w:rFonts w:ascii="Times New Roman" w:hAnsi="Times New Roman" w:cs="Times New Roman"/>
          <w:sz w:val="24"/>
          <w:szCs w:val="24"/>
        </w:rPr>
        <w:t xml:space="preserve"> financial year 2018 with both the return on equity and net profit margin pulling on levels unmatched in the four financial-year period. </w:t>
      </w:r>
    </w:p>
    <w:p w:rsidR="003F4CDD" w:rsidRPr="00C57DAF" w:rsidRDefault="003F4CDD" w:rsidP="00C57DAF">
      <w:pPr>
        <w:spacing w:after="160" w:line="480" w:lineRule="auto"/>
        <w:jc w:val="both"/>
        <w:rPr>
          <w:rFonts w:ascii="Times New Roman" w:hAnsi="Times New Roman" w:cs="Times New Roman"/>
          <w:sz w:val="24"/>
          <w:szCs w:val="24"/>
        </w:rPr>
      </w:pPr>
    </w:p>
    <w:p w:rsidR="003F4CDD" w:rsidRPr="00C57DAF" w:rsidRDefault="003F4CDD" w:rsidP="00C57DAF">
      <w:pPr>
        <w:spacing w:after="160" w:line="480" w:lineRule="auto"/>
        <w:jc w:val="both"/>
        <w:rPr>
          <w:rFonts w:ascii="Times New Roman" w:hAnsi="Times New Roman" w:cs="Times New Roman"/>
          <w:sz w:val="24"/>
          <w:szCs w:val="24"/>
        </w:rPr>
      </w:pPr>
    </w:p>
    <w:p w:rsidR="00AD6E1F" w:rsidRPr="00C57DAF" w:rsidRDefault="00C57DAF" w:rsidP="00C57DAF">
      <w:pPr>
        <w:spacing w:after="160" w:line="480" w:lineRule="auto"/>
        <w:jc w:val="both"/>
        <w:rPr>
          <w:rFonts w:ascii="Times New Roman" w:hAnsi="Times New Roman" w:cs="Times New Roman"/>
          <w:sz w:val="24"/>
          <w:szCs w:val="24"/>
        </w:rPr>
      </w:pPr>
      <w:r w:rsidRPr="00C57DAF">
        <w:rPr>
          <w:rFonts w:ascii="Times New Roman" w:hAnsi="Times New Roman" w:cs="Times New Roman"/>
          <w:sz w:val="24"/>
          <w:szCs w:val="24"/>
        </w:rPr>
        <w:t xml:space="preserve">References </w:t>
      </w:r>
    </w:p>
    <w:p w:rsidR="00C57DAF" w:rsidRPr="00C57DAF" w:rsidRDefault="00C57DAF" w:rsidP="00C57DAF">
      <w:pPr>
        <w:spacing w:after="160" w:line="480" w:lineRule="auto"/>
        <w:jc w:val="both"/>
        <w:rPr>
          <w:rFonts w:ascii="Times New Roman" w:hAnsi="Times New Roman" w:cs="Times New Roman"/>
          <w:sz w:val="24"/>
          <w:szCs w:val="24"/>
        </w:rPr>
      </w:pPr>
      <w:proofErr w:type="spellStart"/>
      <w:proofErr w:type="gramStart"/>
      <w:r w:rsidRPr="00C57DAF">
        <w:rPr>
          <w:rFonts w:ascii="Times New Roman" w:hAnsi="Times New Roman" w:cs="Times New Roman"/>
          <w:sz w:val="24"/>
          <w:szCs w:val="24"/>
          <w:shd w:val="clear" w:color="auto" w:fill="FFFFFF"/>
        </w:rPr>
        <w:t>Fridson</w:t>
      </w:r>
      <w:proofErr w:type="spellEnd"/>
      <w:r w:rsidRPr="00C57DAF">
        <w:rPr>
          <w:rFonts w:ascii="Times New Roman" w:hAnsi="Times New Roman" w:cs="Times New Roman"/>
          <w:sz w:val="24"/>
          <w:szCs w:val="24"/>
          <w:shd w:val="clear" w:color="auto" w:fill="FFFFFF"/>
        </w:rPr>
        <w:t>, M.S. and Alvarez, F., 2011.</w:t>
      </w:r>
      <w:proofErr w:type="gramEnd"/>
      <w:r w:rsidRPr="00C57DAF">
        <w:rPr>
          <w:rFonts w:ascii="Times New Roman" w:hAnsi="Times New Roman" w:cs="Times New Roman"/>
          <w:sz w:val="24"/>
          <w:szCs w:val="24"/>
          <w:shd w:val="clear" w:color="auto" w:fill="FFFFFF"/>
        </w:rPr>
        <w:t> </w:t>
      </w:r>
      <w:r w:rsidRPr="00C57DAF">
        <w:rPr>
          <w:rFonts w:ascii="Times New Roman" w:hAnsi="Times New Roman" w:cs="Times New Roman"/>
          <w:i/>
          <w:iCs/>
          <w:sz w:val="24"/>
          <w:szCs w:val="24"/>
          <w:shd w:val="clear" w:color="auto" w:fill="FFFFFF"/>
        </w:rPr>
        <w:t>Financial statement analysis: a practitioner's guide</w:t>
      </w:r>
      <w:r w:rsidRPr="00C57DAF">
        <w:rPr>
          <w:rFonts w:ascii="Times New Roman" w:hAnsi="Times New Roman" w:cs="Times New Roman"/>
          <w:sz w:val="24"/>
          <w:szCs w:val="24"/>
          <w:shd w:val="clear" w:color="auto" w:fill="FFFFFF"/>
        </w:rPr>
        <w:t xml:space="preserve"> (Vol. 597). </w:t>
      </w:r>
      <w:proofErr w:type="gramStart"/>
      <w:r w:rsidRPr="00C57DAF">
        <w:rPr>
          <w:rFonts w:ascii="Times New Roman" w:hAnsi="Times New Roman" w:cs="Times New Roman"/>
          <w:sz w:val="24"/>
          <w:szCs w:val="24"/>
          <w:shd w:val="clear" w:color="auto" w:fill="FFFFFF"/>
        </w:rPr>
        <w:t>John Wiley &amp; Sons.</w:t>
      </w:r>
      <w:proofErr w:type="gramEnd"/>
    </w:p>
    <w:p w:rsidR="00AD6E1F" w:rsidRPr="00AD6E1F" w:rsidRDefault="00AD6E1F" w:rsidP="00C57DAF">
      <w:pPr>
        <w:shd w:val="clear" w:color="auto" w:fill="FFFFFF"/>
        <w:spacing w:after="160" w:line="480" w:lineRule="auto"/>
        <w:jc w:val="both"/>
        <w:rPr>
          <w:rFonts w:ascii="Times New Roman" w:eastAsia="Times New Roman" w:hAnsi="Times New Roman" w:cs="Times New Roman"/>
          <w:sz w:val="24"/>
          <w:szCs w:val="24"/>
        </w:rPr>
      </w:pPr>
    </w:p>
    <w:p w:rsidR="00035359" w:rsidRPr="00C57DAF" w:rsidRDefault="00035359" w:rsidP="00C57DAF">
      <w:pPr>
        <w:spacing w:after="160" w:line="480" w:lineRule="auto"/>
        <w:jc w:val="both"/>
        <w:rPr>
          <w:rFonts w:ascii="Times New Roman" w:hAnsi="Times New Roman" w:cs="Times New Roman"/>
          <w:sz w:val="24"/>
          <w:szCs w:val="24"/>
        </w:rPr>
      </w:pPr>
    </w:p>
    <w:sectPr w:rsidR="00035359" w:rsidRPr="00C57DA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6899" w:rsidRDefault="00B86899" w:rsidP="00C57DAF">
      <w:pPr>
        <w:spacing w:after="0" w:line="240" w:lineRule="auto"/>
      </w:pPr>
      <w:r>
        <w:separator/>
      </w:r>
    </w:p>
  </w:endnote>
  <w:endnote w:type="continuationSeparator" w:id="0">
    <w:p w:rsidR="00B86899" w:rsidRDefault="00B86899" w:rsidP="00C57D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6899" w:rsidRDefault="00B86899" w:rsidP="00C57DAF">
      <w:pPr>
        <w:spacing w:after="0" w:line="240" w:lineRule="auto"/>
      </w:pPr>
      <w:r>
        <w:separator/>
      </w:r>
    </w:p>
  </w:footnote>
  <w:footnote w:type="continuationSeparator" w:id="0">
    <w:p w:rsidR="00B86899" w:rsidRDefault="00B86899" w:rsidP="00C57D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7DAF" w:rsidRPr="00C57DAF" w:rsidRDefault="00C57DAF">
    <w:pPr>
      <w:pStyle w:val="Header"/>
      <w:rPr>
        <w:rFonts w:ascii="Times New Roman" w:hAnsi="Times New Roman" w:cs="Times New Roman"/>
        <w:sz w:val="24"/>
        <w:szCs w:val="24"/>
      </w:rPr>
    </w:pPr>
    <w:r w:rsidRPr="00C57DAF">
      <w:rPr>
        <w:rFonts w:ascii="Times New Roman" w:hAnsi="Times New Roman" w:cs="Times New Roman"/>
        <w:sz w:val="24"/>
        <w:szCs w:val="24"/>
      </w:rPr>
      <w:t xml:space="preserve">                                                                                                                              Financial ratios 1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A73039"/>
    <w:multiLevelType w:val="multilevel"/>
    <w:tmpl w:val="4C0A8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3290266"/>
    <w:multiLevelType w:val="multilevel"/>
    <w:tmpl w:val="51FA4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4A87767"/>
    <w:multiLevelType w:val="multilevel"/>
    <w:tmpl w:val="E1BECF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DA3490F"/>
    <w:multiLevelType w:val="multilevel"/>
    <w:tmpl w:val="043A9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A8768BE"/>
    <w:multiLevelType w:val="multilevel"/>
    <w:tmpl w:val="11962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D04474C"/>
    <w:multiLevelType w:val="multilevel"/>
    <w:tmpl w:val="D41CE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633C2FD7"/>
    <w:multiLevelType w:val="multilevel"/>
    <w:tmpl w:val="16422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717A379A"/>
    <w:multiLevelType w:val="multilevel"/>
    <w:tmpl w:val="AFCCA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73E5577"/>
    <w:multiLevelType w:val="multilevel"/>
    <w:tmpl w:val="0D9C7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7"/>
  </w:num>
  <w:num w:numId="3">
    <w:abstractNumId w:val="4"/>
  </w:num>
  <w:num w:numId="4">
    <w:abstractNumId w:val="5"/>
  </w:num>
  <w:num w:numId="5">
    <w:abstractNumId w:val="0"/>
  </w:num>
  <w:num w:numId="6">
    <w:abstractNumId w:val="3"/>
  </w:num>
  <w:num w:numId="7">
    <w:abstractNumId w:val="8"/>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7DE5"/>
    <w:rsid w:val="00035359"/>
    <w:rsid w:val="00096303"/>
    <w:rsid w:val="00257DE5"/>
    <w:rsid w:val="003F4CDD"/>
    <w:rsid w:val="00AD6E1F"/>
    <w:rsid w:val="00B86899"/>
    <w:rsid w:val="00C57D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D6E1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D6E1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6E1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D6E1F"/>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AD6E1F"/>
    <w:rPr>
      <w:color w:val="0000FF"/>
      <w:u w:val="single"/>
    </w:rPr>
  </w:style>
  <w:style w:type="paragraph" w:styleId="NormalWeb">
    <w:name w:val="Normal (Web)"/>
    <w:basedOn w:val="Normal"/>
    <w:uiPriority w:val="99"/>
    <w:semiHidden/>
    <w:unhideWhenUsed/>
    <w:rsid w:val="00AD6E1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readcrumblast">
    <w:name w:val="breadcrumb_last"/>
    <w:basedOn w:val="DefaultParagraphFont"/>
    <w:rsid w:val="00AD6E1F"/>
  </w:style>
  <w:style w:type="paragraph" w:customStyle="1" w:styleId="toctitle">
    <w:name w:val="toc_title"/>
    <w:basedOn w:val="Normal"/>
    <w:rsid w:val="00AD6E1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octoggle">
    <w:name w:val="toc_toggle"/>
    <w:basedOn w:val="DefaultParagraphFont"/>
    <w:rsid w:val="00AD6E1F"/>
  </w:style>
  <w:style w:type="character" w:customStyle="1" w:styleId="tocnumber">
    <w:name w:val="toc_number"/>
    <w:basedOn w:val="DefaultParagraphFont"/>
    <w:rsid w:val="00AD6E1F"/>
  </w:style>
  <w:style w:type="paragraph" w:styleId="z-TopofForm">
    <w:name w:val="HTML Top of Form"/>
    <w:basedOn w:val="Normal"/>
    <w:next w:val="Normal"/>
    <w:link w:val="z-TopofFormChar"/>
    <w:hidden/>
    <w:uiPriority w:val="99"/>
    <w:semiHidden/>
    <w:unhideWhenUsed/>
    <w:rsid w:val="00AD6E1F"/>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D6E1F"/>
    <w:rPr>
      <w:rFonts w:ascii="Arial" w:eastAsia="Times New Roman" w:hAnsi="Arial" w:cs="Arial"/>
      <w:vanish/>
      <w:sz w:val="16"/>
      <w:szCs w:val="16"/>
    </w:rPr>
  </w:style>
  <w:style w:type="character" w:customStyle="1" w:styleId="screen-reader-text">
    <w:name w:val="screen-reader-text"/>
    <w:basedOn w:val="DefaultParagraphFont"/>
    <w:rsid w:val="00AD6E1F"/>
  </w:style>
  <w:style w:type="paragraph" w:styleId="z-BottomofForm">
    <w:name w:val="HTML Bottom of Form"/>
    <w:basedOn w:val="Normal"/>
    <w:next w:val="Normal"/>
    <w:link w:val="z-BottomofFormChar"/>
    <w:hidden/>
    <w:uiPriority w:val="99"/>
    <w:semiHidden/>
    <w:unhideWhenUsed/>
    <w:rsid w:val="00AD6E1F"/>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AD6E1F"/>
    <w:rPr>
      <w:rFonts w:ascii="Arial" w:eastAsia="Times New Roman" w:hAnsi="Arial" w:cs="Arial"/>
      <w:vanish/>
      <w:sz w:val="16"/>
      <w:szCs w:val="16"/>
    </w:rPr>
  </w:style>
  <w:style w:type="character" w:styleId="Strong">
    <w:name w:val="Strong"/>
    <w:basedOn w:val="DefaultParagraphFont"/>
    <w:uiPriority w:val="22"/>
    <w:qFormat/>
    <w:rsid w:val="00AD6E1F"/>
    <w:rPr>
      <w:b/>
      <w:bCs/>
    </w:rPr>
  </w:style>
  <w:style w:type="paragraph" w:styleId="BalloonText">
    <w:name w:val="Balloon Text"/>
    <w:basedOn w:val="Normal"/>
    <w:link w:val="BalloonTextChar"/>
    <w:uiPriority w:val="99"/>
    <w:semiHidden/>
    <w:unhideWhenUsed/>
    <w:rsid w:val="00AD6E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6E1F"/>
    <w:rPr>
      <w:rFonts w:ascii="Tahoma" w:hAnsi="Tahoma" w:cs="Tahoma"/>
      <w:sz w:val="16"/>
      <w:szCs w:val="16"/>
    </w:rPr>
  </w:style>
  <w:style w:type="paragraph" w:styleId="Header">
    <w:name w:val="header"/>
    <w:basedOn w:val="Normal"/>
    <w:link w:val="HeaderChar"/>
    <w:uiPriority w:val="99"/>
    <w:unhideWhenUsed/>
    <w:rsid w:val="00C57D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7DAF"/>
  </w:style>
  <w:style w:type="paragraph" w:styleId="Footer">
    <w:name w:val="footer"/>
    <w:basedOn w:val="Normal"/>
    <w:link w:val="FooterChar"/>
    <w:uiPriority w:val="99"/>
    <w:unhideWhenUsed/>
    <w:rsid w:val="00C57D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7DA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D6E1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D6E1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6E1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D6E1F"/>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AD6E1F"/>
    <w:rPr>
      <w:color w:val="0000FF"/>
      <w:u w:val="single"/>
    </w:rPr>
  </w:style>
  <w:style w:type="paragraph" w:styleId="NormalWeb">
    <w:name w:val="Normal (Web)"/>
    <w:basedOn w:val="Normal"/>
    <w:uiPriority w:val="99"/>
    <w:semiHidden/>
    <w:unhideWhenUsed/>
    <w:rsid w:val="00AD6E1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readcrumblast">
    <w:name w:val="breadcrumb_last"/>
    <w:basedOn w:val="DefaultParagraphFont"/>
    <w:rsid w:val="00AD6E1F"/>
  </w:style>
  <w:style w:type="paragraph" w:customStyle="1" w:styleId="toctitle">
    <w:name w:val="toc_title"/>
    <w:basedOn w:val="Normal"/>
    <w:rsid w:val="00AD6E1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octoggle">
    <w:name w:val="toc_toggle"/>
    <w:basedOn w:val="DefaultParagraphFont"/>
    <w:rsid w:val="00AD6E1F"/>
  </w:style>
  <w:style w:type="character" w:customStyle="1" w:styleId="tocnumber">
    <w:name w:val="toc_number"/>
    <w:basedOn w:val="DefaultParagraphFont"/>
    <w:rsid w:val="00AD6E1F"/>
  </w:style>
  <w:style w:type="paragraph" w:styleId="z-TopofForm">
    <w:name w:val="HTML Top of Form"/>
    <w:basedOn w:val="Normal"/>
    <w:next w:val="Normal"/>
    <w:link w:val="z-TopofFormChar"/>
    <w:hidden/>
    <w:uiPriority w:val="99"/>
    <w:semiHidden/>
    <w:unhideWhenUsed/>
    <w:rsid w:val="00AD6E1F"/>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D6E1F"/>
    <w:rPr>
      <w:rFonts w:ascii="Arial" w:eastAsia="Times New Roman" w:hAnsi="Arial" w:cs="Arial"/>
      <w:vanish/>
      <w:sz w:val="16"/>
      <w:szCs w:val="16"/>
    </w:rPr>
  </w:style>
  <w:style w:type="character" w:customStyle="1" w:styleId="screen-reader-text">
    <w:name w:val="screen-reader-text"/>
    <w:basedOn w:val="DefaultParagraphFont"/>
    <w:rsid w:val="00AD6E1F"/>
  </w:style>
  <w:style w:type="paragraph" w:styleId="z-BottomofForm">
    <w:name w:val="HTML Bottom of Form"/>
    <w:basedOn w:val="Normal"/>
    <w:next w:val="Normal"/>
    <w:link w:val="z-BottomofFormChar"/>
    <w:hidden/>
    <w:uiPriority w:val="99"/>
    <w:semiHidden/>
    <w:unhideWhenUsed/>
    <w:rsid w:val="00AD6E1F"/>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AD6E1F"/>
    <w:rPr>
      <w:rFonts w:ascii="Arial" w:eastAsia="Times New Roman" w:hAnsi="Arial" w:cs="Arial"/>
      <w:vanish/>
      <w:sz w:val="16"/>
      <w:szCs w:val="16"/>
    </w:rPr>
  </w:style>
  <w:style w:type="character" w:styleId="Strong">
    <w:name w:val="Strong"/>
    <w:basedOn w:val="DefaultParagraphFont"/>
    <w:uiPriority w:val="22"/>
    <w:qFormat/>
    <w:rsid w:val="00AD6E1F"/>
    <w:rPr>
      <w:b/>
      <w:bCs/>
    </w:rPr>
  </w:style>
  <w:style w:type="paragraph" w:styleId="BalloonText">
    <w:name w:val="Balloon Text"/>
    <w:basedOn w:val="Normal"/>
    <w:link w:val="BalloonTextChar"/>
    <w:uiPriority w:val="99"/>
    <w:semiHidden/>
    <w:unhideWhenUsed/>
    <w:rsid w:val="00AD6E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6E1F"/>
    <w:rPr>
      <w:rFonts w:ascii="Tahoma" w:hAnsi="Tahoma" w:cs="Tahoma"/>
      <w:sz w:val="16"/>
      <w:szCs w:val="16"/>
    </w:rPr>
  </w:style>
  <w:style w:type="paragraph" w:styleId="Header">
    <w:name w:val="header"/>
    <w:basedOn w:val="Normal"/>
    <w:link w:val="HeaderChar"/>
    <w:uiPriority w:val="99"/>
    <w:unhideWhenUsed/>
    <w:rsid w:val="00C57D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7DAF"/>
  </w:style>
  <w:style w:type="paragraph" w:styleId="Footer">
    <w:name w:val="footer"/>
    <w:basedOn w:val="Normal"/>
    <w:link w:val="FooterChar"/>
    <w:uiPriority w:val="99"/>
    <w:unhideWhenUsed/>
    <w:rsid w:val="00C57D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7D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319550">
      <w:bodyDiv w:val="1"/>
      <w:marLeft w:val="0"/>
      <w:marRight w:val="0"/>
      <w:marTop w:val="0"/>
      <w:marBottom w:val="0"/>
      <w:divBdr>
        <w:top w:val="none" w:sz="0" w:space="0" w:color="auto"/>
        <w:left w:val="none" w:sz="0" w:space="0" w:color="auto"/>
        <w:bottom w:val="none" w:sz="0" w:space="0" w:color="auto"/>
        <w:right w:val="none" w:sz="0" w:space="0" w:color="auto"/>
      </w:divBdr>
    </w:div>
    <w:div w:id="392580627">
      <w:bodyDiv w:val="1"/>
      <w:marLeft w:val="0"/>
      <w:marRight w:val="0"/>
      <w:marTop w:val="0"/>
      <w:marBottom w:val="0"/>
      <w:divBdr>
        <w:top w:val="none" w:sz="0" w:space="0" w:color="auto"/>
        <w:left w:val="none" w:sz="0" w:space="0" w:color="auto"/>
        <w:bottom w:val="none" w:sz="0" w:space="0" w:color="auto"/>
        <w:right w:val="none" w:sz="0" w:space="0" w:color="auto"/>
      </w:divBdr>
    </w:div>
    <w:div w:id="848762421">
      <w:bodyDiv w:val="1"/>
      <w:marLeft w:val="0"/>
      <w:marRight w:val="0"/>
      <w:marTop w:val="0"/>
      <w:marBottom w:val="0"/>
      <w:divBdr>
        <w:top w:val="none" w:sz="0" w:space="0" w:color="auto"/>
        <w:left w:val="none" w:sz="0" w:space="0" w:color="auto"/>
        <w:bottom w:val="none" w:sz="0" w:space="0" w:color="auto"/>
        <w:right w:val="none" w:sz="0" w:space="0" w:color="auto"/>
      </w:divBdr>
    </w:div>
    <w:div w:id="1094784013">
      <w:bodyDiv w:val="1"/>
      <w:marLeft w:val="0"/>
      <w:marRight w:val="0"/>
      <w:marTop w:val="0"/>
      <w:marBottom w:val="0"/>
      <w:divBdr>
        <w:top w:val="none" w:sz="0" w:space="0" w:color="auto"/>
        <w:left w:val="none" w:sz="0" w:space="0" w:color="auto"/>
        <w:bottom w:val="none" w:sz="0" w:space="0" w:color="auto"/>
        <w:right w:val="none" w:sz="0" w:space="0" w:color="auto"/>
      </w:divBdr>
    </w:div>
    <w:div w:id="1131091390">
      <w:bodyDiv w:val="1"/>
      <w:marLeft w:val="0"/>
      <w:marRight w:val="0"/>
      <w:marTop w:val="0"/>
      <w:marBottom w:val="0"/>
      <w:divBdr>
        <w:top w:val="none" w:sz="0" w:space="0" w:color="auto"/>
        <w:left w:val="none" w:sz="0" w:space="0" w:color="auto"/>
        <w:bottom w:val="none" w:sz="0" w:space="0" w:color="auto"/>
        <w:right w:val="none" w:sz="0" w:space="0" w:color="auto"/>
      </w:divBdr>
    </w:div>
    <w:div w:id="1379863603">
      <w:bodyDiv w:val="1"/>
      <w:marLeft w:val="0"/>
      <w:marRight w:val="0"/>
      <w:marTop w:val="0"/>
      <w:marBottom w:val="0"/>
      <w:divBdr>
        <w:top w:val="none" w:sz="0" w:space="0" w:color="auto"/>
        <w:left w:val="none" w:sz="0" w:space="0" w:color="auto"/>
        <w:bottom w:val="none" w:sz="0" w:space="0" w:color="auto"/>
        <w:right w:val="none" w:sz="0" w:space="0" w:color="auto"/>
      </w:divBdr>
    </w:div>
    <w:div w:id="1894193326">
      <w:bodyDiv w:val="1"/>
      <w:marLeft w:val="0"/>
      <w:marRight w:val="0"/>
      <w:marTop w:val="0"/>
      <w:marBottom w:val="0"/>
      <w:divBdr>
        <w:top w:val="none" w:sz="0" w:space="0" w:color="auto"/>
        <w:left w:val="none" w:sz="0" w:space="0" w:color="auto"/>
        <w:bottom w:val="none" w:sz="0" w:space="0" w:color="auto"/>
        <w:right w:val="none" w:sz="0" w:space="0" w:color="auto"/>
      </w:divBdr>
      <w:divsChild>
        <w:div w:id="1259607379">
          <w:marLeft w:val="0"/>
          <w:marRight w:val="0"/>
          <w:marTop w:val="0"/>
          <w:marBottom w:val="0"/>
          <w:divBdr>
            <w:top w:val="none" w:sz="0" w:space="0" w:color="auto"/>
            <w:left w:val="none" w:sz="0" w:space="0" w:color="auto"/>
            <w:bottom w:val="none" w:sz="0" w:space="0" w:color="auto"/>
            <w:right w:val="none" w:sz="0" w:space="0" w:color="auto"/>
          </w:divBdr>
          <w:divsChild>
            <w:div w:id="211188146">
              <w:marLeft w:val="0"/>
              <w:marRight w:val="0"/>
              <w:marTop w:val="0"/>
              <w:marBottom w:val="0"/>
              <w:divBdr>
                <w:top w:val="none" w:sz="0" w:space="0" w:color="auto"/>
                <w:left w:val="none" w:sz="0" w:space="0" w:color="auto"/>
                <w:bottom w:val="none" w:sz="0" w:space="0" w:color="auto"/>
                <w:right w:val="none" w:sz="0" w:space="0" w:color="auto"/>
              </w:divBdr>
            </w:div>
          </w:divsChild>
        </w:div>
        <w:div w:id="1094397583">
          <w:marLeft w:val="0"/>
          <w:marRight w:val="0"/>
          <w:marTop w:val="0"/>
          <w:marBottom w:val="0"/>
          <w:divBdr>
            <w:top w:val="none" w:sz="0" w:space="0" w:color="auto"/>
            <w:left w:val="none" w:sz="0" w:space="0" w:color="auto"/>
            <w:bottom w:val="none" w:sz="0" w:space="0" w:color="auto"/>
            <w:right w:val="none" w:sz="0" w:space="0" w:color="auto"/>
          </w:divBdr>
          <w:divsChild>
            <w:div w:id="2138713663">
              <w:marLeft w:val="0"/>
              <w:marRight w:val="0"/>
              <w:marTop w:val="0"/>
              <w:marBottom w:val="0"/>
              <w:divBdr>
                <w:top w:val="none" w:sz="0" w:space="0" w:color="auto"/>
                <w:left w:val="none" w:sz="0" w:space="0" w:color="auto"/>
                <w:bottom w:val="none" w:sz="0" w:space="0" w:color="auto"/>
                <w:right w:val="none" w:sz="0" w:space="0" w:color="auto"/>
              </w:divBdr>
            </w:div>
          </w:divsChild>
        </w:div>
        <w:div w:id="1156144780">
          <w:marLeft w:val="0"/>
          <w:marRight w:val="0"/>
          <w:marTop w:val="0"/>
          <w:marBottom w:val="0"/>
          <w:divBdr>
            <w:top w:val="none" w:sz="0" w:space="0" w:color="auto"/>
            <w:left w:val="none" w:sz="0" w:space="0" w:color="auto"/>
            <w:bottom w:val="none" w:sz="0" w:space="0" w:color="auto"/>
            <w:right w:val="none" w:sz="0" w:space="0" w:color="auto"/>
          </w:divBdr>
          <w:divsChild>
            <w:div w:id="2036882100">
              <w:marLeft w:val="0"/>
              <w:marRight w:val="0"/>
              <w:marTop w:val="0"/>
              <w:marBottom w:val="750"/>
              <w:divBdr>
                <w:top w:val="none" w:sz="0" w:space="0" w:color="auto"/>
                <w:left w:val="none" w:sz="0" w:space="0" w:color="auto"/>
                <w:bottom w:val="none" w:sz="0" w:space="0" w:color="auto"/>
                <w:right w:val="none" w:sz="0" w:space="0" w:color="auto"/>
              </w:divBdr>
              <w:divsChild>
                <w:div w:id="1542595921">
                  <w:marLeft w:val="0"/>
                  <w:marRight w:val="0"/>
                  <w:marTop w:val="0"/>
                  <w:marBottom w:val="0"/>
                  <w:divBdr>
                    <w:top w:val="none" w:sz="0" w:space="0" w:color="auto"/>
                    <w:left w:val="none" w:sz="0" w:space="0" w:color="auto"/>
                    <w:bottom w:val="none" w:sz="0" w:space="0" w:color="auto"/>
                    <w:right w:val="none" w:sz="0" w:space="0" w:color="auto"/>
                  </w:divBdr>
                  <w:divsChild>
                    <w:div w:id="1689870332">
                      <w:marLeft w:val="0"/>
                      <w:marRight w:val="0"/>
                      <w:marTop w:val="0"/>
                      <w:marBottom w:val="0"/>
                      <w:divBdr>
                        <w:top w:val="none" w:sz="0" w:space="0" w:color="auto"/>
                        <w:left w:val="none" w:sz="0" w:space="0" w:color="auto"/>
                        <w:bottom w:val="none" w:sz="0" w:space="0" w:color="auto"/>
                        <w:right w:val="none" w:sz="0" w:space="0" w:color="auto"/>
                      </w:divBdr>
                      <w:divsChild>
                        <w:div w:id="812405079">
                          <w:marLeft w:val="0"/>
                          <w:marRight w:val="0"/>
                          <w:marTop w:val="0"/>
                          <w:marBottom w:val="0"/>
                          <w:divBdr>
                            <w:top w:val="none" w:sz="0" w:space="0" w:color="auto"/>
                            <w:left w:val="none" w:sz="0" w:space="0" w:color="auto"/>
                            <w:bottom w:val="none" w:sz="0" w:space="0" w:color="auto"/>
                            <w:right w:val="none" w:sz="0" w:space="0" w:color="auto"/>
                          </w:divBdr>
                        </w:div>
                        <w:div w:id="1172450997">
                          <w:marLeft w:val="0"/>
                          <w:marRight w:val="0"/>
                          <w:marTop w:val="480"/>
                          <w:marBottom w:val="0"/>
                          <w:divBdr>
                            <w:top w:val="none" w:sz="0" w:space="0" w:color="auto"/>
                            <w:left w:val="none" w:sz="0" w:space="0" w:color="auto"/>
                            <w:bottom w:val="none" w:sz="0" w:space="0" w:color="auto"/>
                            <w:right w:val="none" w:sz="0" w:space="0" w:color="auto"/>
                          </w:divBdr>
                          <w:divsChild>
                            <w:div w:id="128982391">
                              <w:marLeft w:val="0"/>
                              <w:marRight w:val="0"/>
                              <w:marTop w:val="0"/>
                              <w:marBottom w:val="0"/>
                              <w:divBdr>
                                <w:top w:val="none" w:sz="0" w:space="0" w:color="auto"/>
                                <w:left w:val="none" w:sz="0" w:space="0" w:color="auto"/>
                                <w:bottom w:val="none" w:sz="0" w:space="0" w:color="auto"/>
                                <w:right w:val="none" w:sz="0" w:space="0" w:color="auto"/>
                              </w:divBdr>
                            </w:div>
                            <w:div w:id="1073622978">
                              <w:marLeft w:val="0"/>
                              <w:marRight w:val="0"/>
                              <w:marTop w:val="0"/>
                              <w:marBottom w:val="240"/>
                              <w:divBdr>
                                <w:top w:val="single" w:sz="6" w:space="8" w:color="AAAAAA"/>
                                <w:left w:val="single" w:sz="6" w:space="8" w:color="AAAAAA"/>
                                <w:bottom w:val="single" w:sz="6" w:space="8" w:color="AAAAAA"/>
                                <w:right w:val="single" w:sz="6" w:space="8" w:color="AAAAAA"/>
                              </w:divBdr>
                            </w:div>
                          </w:divsChild>
                        </w:div>
                        <w:div w:id="197525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191208">
                  <w:marLeft w:val="0"/>
                  <w:marRight w:val="0"/>
                  <w:marTop w:val="0"/>
                  <w:marBottom w:val="0"/>
                  <w:divBdr>
                    <w:top w:val="none" w:sz="0" w:space="0" w:color="auto"/>
                    <w:left w:val="none" w:sz="0" w:space="0" w:color="auto"/>
                    <w:bottom w:val="none" w:sz="0" w:space="0" w:color="auto"/>
                    <w:right w:val="none" w:sz="0" w:space="0" w:color="auto"/>
                  </w:divBdr>
                  <w:divsChild>
                    <w:div w:id="1242178349">
                      <w:marLeft w:val="0"/>
                      <w:marRight w:val="0"/>
                      <w:marTop w:val="300"/>
                      <w:marBottom w:val="300"/>
                      <w:divBdr>
                        <w:top w:val="none" w:sz="0" w:space="0" w:color="auto"/>
                        <w:left w:val="single" w:sz="6" w:space="31" w:color="E1E1E1"/>
                        <w:bottom w:val="none" w:sz="0" w:space="0" w:color="auto"/>
                        <w:right w:val="none" w:sz="0" w:space="0" w:color="auto"/>
                      </w:divBdr>
                      <w:divsChild>
                        <w:div w:id="402530515">
                          <w:marLeft w:val="0"/>
                          <w:marRight w:val="0"/>
                          <w:marTop w:val="0"/>
                          <w:marBottom w:val="0"/>
                          <w:divBdr>
                            <w:top w:val="none" w:sz="0" w:space="0" w:color="auto"/>
                            <w:left w:val="none" w:sz="0" w:space="0" w:color="auto"/>
                            <w:bottom w:val="none" w:sz="0" w:space="0" w:color="auto"/>
                            <w:right w:val="none" w:sz="0" w:space="0" w:color="auto"/>
                          </w:divBdr>
                        </w:div>
                        <w:div w:id="612830166">
                          <w:marLeft w:val="0"/>
                          <w:marRight w:val="0"/>
                          <w:marTop w:val="0"/>
                          <w:marBottom w:val="0"/>
                          <w:divBdr>
                            <w:top w:val="none" w:sz="0" w:space="0" w:color="auto"/>
                            <w:left w:val="none" w:sz="0" w:space="0" w:color="auto"/>
                            <w:bottom w:val="none" w:sz="0" w:space="0" w:color="auto"/>
                            <w:right w:val="none" w:sz="0" w:space="0" w:color="auto"/>
                          </w:divBdr>
                          <w:divsChild>
                            <w:div w:id="210772511">
                              <w:marLeft w:val="0"/>
                              <w:marRight w:val="0"/>
                              <w:marTop w:val="0"/>
                              <w:marBottom w:val="0"/>
                              <w:divBdr>
                                <w:top w:val="none" w:sz="0" w:space="0" w:color="auto"/>
                                <w:left w:val="none" w:sz="0" w:space="0" w:color="auto"/>
                                <w:bottom w:val="none" w:sz="0" w:space="0" w:color="auto"/>
                                <w:right w:val="none" w:sz="0" w:space="0" w:color="auto"/>
                              </w:divBdr>
                            </w:div>
                          </w:divsChild>
                        </w:div>
                        <w:div w:id="2037923152">
                          <w:marLeft w:val="0"/>
                          <w:marRight w:val="0"/>
                          <w:marTop w:val="0"/>
                          <w:marBottom w:val="0"/>
                          <w:divBdr>
                            <w:top w:val="none" w:sz="0" w:space="0" w:color="auto"/>
                            <w:left w:val="none" w:sz="0" w:space="0" w:color="auto"/>
                            <w:bottom w:val="none" w:sz="0" w:space="0" w:color="auto"/>
                            <w:right w:val="none" w:sz="0" w:space="0" w:color="auto"/>
                          </w:divBdr>
                          <w:divsChild>
                            <w:div w:id="166553734">
                              <w:marLeft w:val="0"/>
                              <w:marRight w:val="0"/>
                              <w:marTop w:val="0"/>
                              <w:marBottom w:val="0"/>
                              <w:divBdr>
                                <w:top w:val="none" w:sz="0" w:space="0" w:color="auto"/>
                                <w:left w:val="none" w:sz="0" w:space="0" w:color="auto"/>
                                <w:bottom w:val="none" w:sz="0" w:space="0" w:color="auto"/>
                                <w:right w:val="none" w:sz="0" w:space="0" w:color="auto"/>
                              </w:divBdr>
                            </w:div>
                          </w:divsChild>
                        </w:div>
                        <w:div w:id="60179775">
                          <w:marLeft w:val="0"/>
                          <w:marRight w:val="0"/>
                          <w:marTop w:val="0"/>
                          <w:marBottom w:val="0"/>
                          <w:divBdr>
                            <w:top w:val="none" w:sz="0" w:space="0" w:color="auto"/>
                            <w:left w:val="none" w:sz="0" w:space="0" w:color="auto"/>
                            <w:bottom w:val="none" w:sz="0" w:space="0" w:color="auto"/>
                            <w:right w:val="none" w:sz="0" w:space="0" w:color="auto"/>
                          </w:divBdr>
                          <w:divsChild>
                            <w:div w:id="1240674231">
                              <w:marLeft w:val="0"/>
                              <w:marRight w:val="0"/>
                              <w:marTop w:val="0"/>
                              <w:marBottom w:val="0"/>
                              <w:divBdr>
                                <w:top w:val="none" w:sz="0" w:space="0" w:color="auto"/>
                                <w:left w:val="none" w:sz="0" w:space="0" w:color="auto"/>
                                <w:bottom w:val="none" w:sz="0" w:space="0" w:color="auto"/>
                                <w:right w:val="none" w:sz="0" w:space="0" w:color="auto"/>
                              </w:divBdr>
                            </w:div>
                          </w:divsChild>
                        </w:div>
                        <w:div w:id="765080114">
                          <w:marLeft w:val="0"/>
                          <w:marRight w:val="0"/>
                          <w:marTop w:val="0"/>
                          <w:marBottom w:val="0"/>
                          <w:divBdr>
                            <w:top w:val="none" w:sz="0" w:space="0" w:color="auto"/>
                            <w:left w:val="none" w:sz="0" w:space="0" w:color="auto"/>
                            <w:bottom w:val="none" w:sz="0" w:space="0" w:color="auto"/>
                            <w:right w:val="none" w:sz="0" w:space="0" w:color="auto"/>
                          </w:divBdr>
                          <w:divsChild>
                            <w:div w:id="185599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7649703">
          <w:marLeft w:val="0"/>
          <w:marRight w:val="0"/>
          <w:marTop w:val="0"/>
          <w:marBottom w:val="0"/>
          <w:divBdr>
            <w:top w:val="none" w:sz="0" w:space="0" w:color="auto"/>
            <w:left w:val="none" w:sz="0" w:space="0" w:color="auto"/>
            <w:bottom w:val="none" w:sz="0" w:space="0" w:color="auto"/>
            <w:right w:val="none" w:sz="0" w:space="0" w:color="auto"/>
          </w:divBdr>
          <w:divsChild>
            <w:div w:id="2132360350">
              <w:marLeft w:val="0"/>
              <w:marRight w:val="0"/>
              <w:marTop w:val="0"/>
              <w:marBottom w:val="0"/>
              <w:divBdr>
                <w:top w:val="none" w:sz="0" w:space="0" w:color="auto"/>
                <w:left w:val="none" w:sz="0" w:space="0" w:color="auto"/>
                <w:bottom w:val="none" w:sz="0" w:space="0" w:color="auto"/>
                <w:right w:val="none" w:sz="0" w:space="0" w:color="auto"/>
              </w:divBdr>
              <w:divsChild>
                <w:div w:id="906114805">
                  <w:marLeft w:val="0"/>
                  <w:marRight w:val="0"/>
                  <w:marTop w:val="0"/>
                  <w:marBottom w:val="0"/>
                  <w:divBdr>
                    <w:top w:val="none" w:sz="0" w:space="0" w:color="auto"/>
                    <w:left w:val="none" w:sz="0" w:space="0" w:color="auto"/>
                    <w:bottom w:val="none" w:sz="0" w:space="0" w:color="auto"/>
                    <w:right w:val="none" w:sz="0" w:space="0" w:color="auto"/>
                  </w:divBdr>
                  <w:divsChild>
                    <w:div w:id="71661224">
                      <w:marLeft w:val="-600"/>
                      <w:marRight w:val="0"/>
                      <w:marTop w:val="0"/>
                      <w:marBottom w:val="0"/>
                      <w:divBdr>
                        <w:top w:val="none" w:sz="0" w:space="0" w:color="auto"/>
                        <w:left w:val="none" w:sz="0" w:space="0" w:color="auto"/>
                        <w:bottom w:val="none" w:sz="0" w:space="0" w:color="auto"/>
                        <w:right w:val="none" w:sz="0" w:space="0" w:color="auto"/>
                      </w:divBdr>
                      <w:divsChild>
                        <w:div w:id="17512555">
                          <w:marLeft w:val="0"/>
                          <w:marRight w:val="0"/>
                          <w:marTop w:val="0"/>
                          <w:marBottom w:val="0"/>
                          <w:divBdr>
                            <w:top w:val="none" w:sz="0" w:space="0" w:color="auto"/>
                            <w:left w:val="none" w:sz="0" w:space="0" w:color="auto"/>
                            <w:bottom w:val="none" w:sz="0" w:space="0" w:color="auto"/>
                            <w:right w:val="none" w:sz="0" w:space="0" w:color="auto"/>
                          </w:divBdr>
                          <w:divsChild>
                            <w:div w:id="764308004">
                              <w:marLeft w:val="0"/>
                              <w:marRight w:val="0"/>
                              <w:marTop w:val="0"/>
                              <w:marBottom w:val="0"/>
                              <w:divBdr>
                                <w:top w:val="none" w:sz="0" w:space="0" w:color="auto"/>
                                <w:left w:val="none" w:sz="0" w:space="0" w:color="auto"/>
                                <w:bottom w:val="none" w:sz="0" w:space="0" w:color="auto"/>
                                <w:right w:val="none" w:sz="0" w:space="0" w:color="auto"/>
                              </w:divBdr>
                            </w:div>
                          </w:divsChild>
                        </w:div>
                        <w:div w:id="2101290936">
                          <w:marLeft w:val="0"/>
                          <w:marRight w:val="0"/>
                          <w:marTop w:val="0"/>
                          <w:marBottom w:val="0"/>
                          <w:divBdr>
                            <w:top w:val="none" w:sz="0" w:space="0" w:color="auto"/>
                            <w:left w:val="none" w:sz="0" w:space="0" w:color="auto"/>
                            <w:bottom w:val="none" w:sz="0" w:space="0" w:color="auto"/>
                            <w:right w:val="none" w:sz="0" w:space="0" w:color="auto"/>
                          </w:divBdr>
                          <w:divsChild>
                            <w:div w:id="1993026326">
                              <w:marLeft w:val="0"/>
                              <w:marRight w:val="0"/>
                              <w:marTop w:val="0"/>
                              <w:marBottom w:val="0"/>
                              <w:divBdr>
                                <w:top w:val="none" w:sz="0" w:space="0" w:color="auto"/>
                                <w:left w:val="none" w:sz="0" w:space="0" w:color="auto"/>
                                <w:bottom w:val="none" w:sz="0" w:space="0" w:color="auto"/>
                                <w:right w:val="none" w:sz="0" w:space="0" w:color="auto"/>
                              </w:divBdr>
                            </w:div>
                          </w:divsChild>
                        </w:div>
                        <w:div w:id="856500635">
                          <w:marLeft w:val="0"/>
                          <w:marRight w:val="0"/>
                          <w:marTop w:val="0"/>
                          <w:marBottom w:val="0"/>
                          <w:divBdr>
                            <w:top w:val="none" w:sz="0" w:space="0" w:color="auto"/>
                            <w:left w:val="none" w:sz="0" w:space="0" w:color="auto"/>
                            <w:bottom w:val="none" w:sz="0" w:space="0" w:color="auto"/>
                            <w:right w:val="none" w:sz="0" w:space="0" w:color="auto"/>
                          </w:divBdr>
                          <w:divsChild>
                            <w:div w:id="1172649095">
                              <w:marLeft w:val="0"/>
                              <w:marRight w:val="0"/>
                              <w:marTop w:val="0"/>
                              <w:marBottom w:val="0"/>
                              <w:divBdr>
                                <w:top w:val="none" w:sz="0" w:space="0" w:color="auto"/>
                                <w:left w:val="none" w:sz="0" w:space="0" w:color="auto"/>
                                <w:bottom w:val="none" w:sz="0" w:space="0" w:color="auto"/>
                                <w:right w:val="none" w:sz="0" w:space="0" w:color="auto"/>
                              </w:divBdr>
                            </w:div>
                          </w:divsChild>
                        </w:div>
                        <w:div w:id="1594779445">
                          <w:marLeft w:val="0"/>
                          <w:marRight w:val="0"/>
                          <w:marTop w:val="0"/>
                          <w:marBottom w:val="0"/>
                          <w:divBdr>
                            <w:top w:val="none" w:sz="0" w:space="0" w:color="auto"/>
                            <w:left w:val="none" w:sz="0" w:space="0" w:color="auto"/>
                            <w:bottom w:val="none" w:sz="0" w:space="0" w:color="auto"/>
                            <w:right w:val="none" w:sz="0" w:space="0" w:color="auto"/>
                          </w:divBdr>
                          <w:divsChild>
                            <w:div w:id="156922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744010">
              <w:marLeft w:val="0"/>
              <w:marRight w:val="0"/>
              <w:marTop w:val="0"/>
              <w:marBottom w:val="0"/>
              <w:divBdr>
                <w:top w:val="none" w:sz="0" w:space="0" w:color="auto"/>
                <w:left w:val="none" w:sz="0" w:space="0" w:color="auto"/>
                <w:bottom w:val="none" w:sz="0" w:space="0" w:color="auto"/>
                <w:right w:val="none" w:sz="0" w:space="0" w:color="auto"/>
              </w:divBdr>
              <w:divsChild>
                <w:div w:id="6876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3</Pages>
  <Words>500</Words>
  <Characters>2850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2019-06-02T07:14:00Z</dcterms:created>
  <dcterms:modified xsi:type="dcterms:W3CDTF">2019-06-02T07:53:00Z</dcterms:modified>
</cp:coreProperties>
</file>