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385114" w14:textId="77777777" w:rsidR="00924F39" w:rsidRDefault="00924F39" w:rsidP="00924F39">
      <w:pPr>
        <w:jc w:val="center"/>
      </w:pPr>
    </w:p>
    <w:p w14:paraId="2B474B6D" w14:textId="77777777" w:rsidR="00924F39" w:rsidRDefault="00924F39" w:rsidP="00924F39">
      <w:pPr>
        <w:jc w:val="center"/>
      </w:pPr>
    </w:p>
    <w:p w14:paraId="594A500B" w14:textId="77777777" w:rsidR="00924F39" w:rsidRDefault="00924F39" w:rsidP="00924F39">
      <w:pPr>
        <w:jc w:val="center"/>
      </w:pPr>
    </w:p>
    <w:p w14:paraId="4077221C" w14:textId="77777777" w:rsidR="00924F39" w:rsidRDefault="00924F39" w:rsidP="00924F39">
      <w:pPr>
        <w:jc w:val="center"/>
      </w:pPr>
    </w:p>
    <w:p w14:paraId="685F6A9D" w14:textId="77777777" w:rsidR="00924F39" w:rsidRDefault="00924F39" w:rsidP="00924F39">
      <w:pPr>
        <w:jc w:val="center"/>
      </w:pPr>
    </w:p>
    <w:p w14:paraId="59164E6F" w14:textId="77777777" w:rsidR="00924F39" w:rsidRDefault="00924F39" w:rsidP="00924F39">
      <w:pPr>
        <w:jc w:val="center"/>
      </w:pPr>
    </w:p>
    <w:p w14:paraId="706D10E3" w14:textId="77777777" w:rsidR="00924F39" w:rsidRDefault="00924F39" w:rsidP="00924F39">
      <w:pPr>
        <w:jc w:val="center"/>
      </w:pPr>
    </w:p>
    <w:p w14:paraId="2C0306CF" w14:textId="77777777" w:rsidR="00924F39" w:rsidRDefault="00924F39" w:rsidP="00924F39">
      <w:pPr>
        <w:jc w:val="center"/>
      </w:pPr>
    </w:p>
    <w:p w14:paraId="3F2E3E18" w14:textId="77777777" w:rsidR="00924F39" w:rsidRDefault="00924F39" w:rsidP="00924F39">
      <w:pPr>
        <w:jc w:val="center"/>
      </w:pPr>
    </w:p>
    <w:p w14:paraId="5ECC5DC5" w14:textId="77777777" w:rsidR="00924F39" w:rsidRDefault="00924F39" w:rsidP="00924F39">
      <w:pPr>
        <w:jc w:val="center"/>
      </w:pPr>
    </w:p>
    <w:p w14:paraId="79A14272" w14:textId="77777777" w:rsidR="00924F39" w:rsidRDefault="00924F39" w:rsidP="00924F39">
      <w:pPr>
        <w:jc w:val="center"/>
      </w:pPr>
    </w:p>
    <w:p w14:paraId="35424C45" w14:textId="77777777" w:rsidR="00924F39" w:rsidRDefault="00924F39" w:rsidP="00924F39">
      <w:pPr>
        <w:jc w:val="center"/>
      </w:pPr>
    </w:p>
    <w:p w14:paraId="5A251A9E" w14:textId="77777777" w:rsidR="00924F39" w:rsidRDefault="00924F39" w:rsidP="00924F39">
      <w:pPr>
        <w:jc w:val="center"/>
      </w:pPr>
    </w:p>
    <w:p w14:paraId="75C97E8B" w14:textId="77777777" w:rsidR="00924F39" w:rsidRDefault="00924F39" w:rsidP="00924F39">
      <w:pPr>
        <w:jc w:val="center"/>
      </w:pPr>
    </w:p>
    <w:p w14:paraId="39E4850E" w14:textId="77777777" w:rsidR="00924F39" w:rsidRDefault="00924F39" w:rsidP="00924F39">
      <w:pPr>
        <w:jc w:val="center"/>
      </w:pPr>
    </w:p>
    <w:p w14:paraId="60A3ADE4" w14:textId="4E089261" w:rsidR="00924F39" w:rsidRDefault="000F79F2" w:rsidP="00924F39">
      <w:pPr>
        <w:jc w:val="center"/>
      </w:pPr>
      <w:r>
        <w:t>Recession</w:t>
      </w:r>
    </w:p>
    <w:p w14:paraId="4317395E" w14:textId="566A0684" w:rsidR="00924F39" w:rsidRDefault="000F79F2" w:rsidP="00924F39">
      <w:pPr>
        <w:jc w:val="center"/>
      </w:pPr>
      <w:r>
        <w:t>Name</w:t>
      </w:r>
    </w:p>
    <w:p w14:paraId="5CB9EC28" w14:textId="0ED1408E" w:rsidR="00924F39" w:rsidRDefault="000F79F2" w:rsidP="00924F39">
      <w:pPr>
        <w:jc w:val="center"/>
      </w:pPr>
      <w:r>
        <w:t>Institution</w:t>
      </w:r>
    </w:p>
    <w:p w14:paraId="0CA65298" w14:textId="63BB3DE0" w:rsidR="00924F39" w:rsidRDefault="00924F39" w:rsidP="00924F39">
      <w:pPr>
        <w:jc w:val="center"/>
      </w:pPr>
    </w:p>
    <w:p w14:paraId="21419E1B" w14:textId="6D5B4294" w:rsidR="00924F39" w:rsidRDefault="00924F39" w:rsidP="00924F39">
      <w:pPr>
        <w:jc w:val="center"/>
      </w:pPr>
    </w:p>
    <w:p w14:paraId="611620A0" w14:textId="28EE7384" w:rsidR="00924F39" w:rsidRDefault="00924F39" w:rsidP="00924F39">
      <w:pPr>
        <w:jc w:val="center"/>
      </w:pPr>
    </w:p>
    <w:p w14:paraId="5ED25D2D" w14:textId="474D7977" w:rsidR="00924F39" w:rsidRDefault="00924F39" w:rsidP="00924F39">
      <w:pPr>
        <w:jc w:val="center"/>
      </w:pPr>
    </w:p>
    <w:p w14:paraId="02399636" w14:textId="76445022" w:rsidR="00924F39" w:rsidRDefault="00924F39" w:rsidP="00924F39">
      <w:pPr>
        <w:jc w:val="center"/>
      </w:pPr>
    </w:p>
    <w:p w14:paraId="35C3233D" w14:textId="1A2BA185" w:rsidR="00924F39" w:rsidRDefault="00924F39" w:rsidP="00924F39">
      <w:pPr>
        <w:jc w:val="center"/>
      </w:pPr>
    </w:p>
    <w:p w14:paraId="16E0344D" w14:textId="32431E4D" w:rsidR="00924F39" w:rsidRDefault="00924F39" w:rsidP="00924F39">
      <w:pPr>
        <w:jc w:val="center"/>
      </w:pPr>
    </w:p>
    <w:p w14:paraId="53EE4FE1" w14:textId="787B57C1" w:rsidR="00924F39" w:rsidRDefault="00924F39" w:rsidP="00924F39">
      <w:pPr>
        <w:jc w:val="center"/>
      </w:pPr>
    </w:p>
    <w:p w14:paraId="2EE29255" w14:textId="45148D3D" w:rsidR="00924F39" w:rsidRDefault="00924F39" w:rsidP="00924F39">
      <w:pPr>
        <w:jc w:val="center"/>
      </w:pPr>
    </w:p>
    <w:p w14:paraId="407B2624" w14:textId="4F7309C5" w:rsidR="00924F39" w:rsidRDefault="00924F39" w:rsidP="00924F39">
      <w:pPr>
        <w:jc w:val="center"/>
      </w:pPr>
    </w:p>
    <w:p w14:paraId="0B4AAA7A" w14:textId="4A7AD0FA" w:rsidR="00924F39" w:rsidRDefault="00924F39" w:rsidP="00924F39">
      <w:pPr>
        <w:jc w:val="center"/>
      </w:pPr>
    </w:p>
    <w:p w14:paraId="64AFEBAC" w14:textId="4BF1120E" w:rsidR="00924F39" w:rsidRDefault="00924F39" w:rsidP="00924F39">
      <w:pPr>
        <w:jc w:val="center"/>
      </w:pPr>
    </w:p>
    <w:p w14:paraId="316F63B1" w14:textId="49397CD6" w:rsidR="00E70900" w:rsidRDefault="000F79F2" w:rsidP="00924F39">
      <w:pPr>
        <w:spacing w:line="480" w:lineRule="auto"/>
        <w:ind w:firstLine="720"/>
        <w:jc w:val="both"/>
      </w:pPr>
      <w:r>
        <w:lastRenderedPageBreak/>
        <w:t xml:space="preserve">Economic development within a given concept varies significantly with a critical integration of essential changes which help in creating a highly diversified environment. Understanding key </w:t>
      </w:r>
      <w:r>
        <w:t>factors that define a given economic environment is essential in building a higher level of commitment. An essential aspect of economic development is the recession. The recession occurs when there is a general slowdown in economic activity</w:t>
      </w:r>
      <w:r w:rsidR="00BF1E4D">
        <w:t xml:space="preserve"> </w:t>
      </w:r>
      <w:r w:rsidR="00BF1E4D">
        <w:fldChar w:fldCharType="begin" w:fldLock="1"/>
      </w:r>
      <w:r w:rsidR="00BF1E4D">
        <w:instrText>ADDIN CSL_CITATION {"citationItems":[{"id":"ITEM-1","itemData":{"DOI":"10.1093/restud/rdt040","ISBN":"0034-6527","ISSN":"1467937X","PMID":"25246403","abstract":"Do generations growing up during recessions have different socio-economic beliefs than generations growing up in good times? We study the effects of experiencing a recession when young on individuals’ beliefs by matching macroeconomic shocks during early adulthood with self-reported answers from the General Social Survey. Using time and regional variations in macroeconomic conditions to identify the effect of recessions on beliefs, we show that individuals growing up during recessions support more government redistribution, but are less confident in public institutions. Moreover, we find that recessions have a long-lasting effect on individuals’ beliefs. 1","author":[{"dropping-particle":"","family":"Giuliano","given":"Paola","non-dropping-particle":"","parse-names":false,"suffix":""},{"dropping-particle":"","family":"Spilimbergo","given":"Antonio","non-dropping-particle":"","parse-names":false,"suffix":""}],"container-title":"Review of Economic Studies","id":"ITEM-1","issued":{"date-parts":[["2013"]]},"title":"Growing up in a recession","type":"article-journal"},"uris":["http://www.mendeley.com/documents/?uuid=5341bf5e-d7bc-4512-8abb-91fa755d46e0","http://www.mendeley.com/documents/?uuid=7c140aa6-7bb3-4006-b6f9-c6e1488eb5cb"]}],"mendeley":{"formattedCitation":"(Giuliano &amp; Spilimbergo, 2013)","plainTextFormattedCitation":"(Giuliano &amp; Spilimbergo, 2013)","previouslyFormattedCitation":"(Giuliano &amp; Spilimbergo, 2013)"},"properties":{"noteIndex":0},"schema":"https://github.com/citation-style-language/schema/raw/master/csl-citation.json"}</w:instrText>
      </w:r>
      <w:r w:rsidR="00BF1E4D">
        <w:fldChar w:fldCharType="separate"/>
      </w:r>
      <w:r w:rsidR="00BF1E4D" w:rsidRPr="00BF1E4D">
        <w:rPr>
          <w:noProof/>
        </w:rPr>
        <w:t>(Giuliano &amp; Spilimbergo, 2013)</w:t>
      </w:r>
      <w:r w:rsidR="00BF1E4D">
        <w:fldChar w:fldCharType="end"/>
      </w:r>
      <w:r w:rsidR="00EB1655">
        <w:t>. The key economic indicators are negatively influenced by creating a difficult level of social engagement. The development within a given environment is based on important measures which help in creating a highly diversified understanding of critical elements which can be successfully considered in managing better outcomes. The recession is detrimental to economic development since it creates a difficult understanding of important factors which define key measures which define the wellbeing of individuals within a given economy</w:t>
      </w:r>
      <w:r w:rsidR="00BF1E4D">
        <w:t xml:space="preserve"> </w:t>
      </w:r>
      <w:r w:rsidR="00BF1E4D">
        <w:fldChar w:fldCharType="begin" w:fldLock="1"/>
      </w:r>
      <w:r w:rsidR="00BF1E4D">
        <w:instrText>ADDIN CSL_CITATION {"citationItems":[{"id":"ITEM-1","itemData":{"DOI":"10.1111/ecca.12026","ISBN":"00130427","ISSN":"00130427","abstract":"This paper studies the responses of unemployment in Germany, the USA and the UK to the Great Recession of 2008–9 using Beveridge curve analysis, and in the entire OECD using other techniques. It is shown that the UK suffered from recession but no structural problems; the USA suffered from structural unemployment during the recovery; Germany exhibited a much better performance both during and after the recession. The rise in OECD unemployment is broken down into parts due to aggregate activity, the construction sector and a residual attributed to policies and institutions, which is used to reach conclusions about policy.","author":[{"dropping-particle":"","family":"Pissarides","given":"Christopher A.","non-dropping-particle":"","parse-names":false,"suffix":""}],"container-title":"Economica","id":"ITEM-1","issued":{"date-parts":[["2013"]]},"title":"Unemployment in the Great Recession","type":"article-journal"},"uris":["http://www.mendeley.com/documents/?uuid=c293a362-382e-409c-9e6a-f9508f726e5c","http://www.mendeley.com/documents/?uuid=df0aba54-9aec-4aa7-94ee-c662cd916902"]}],"mendeley":{"formattedCitation":"(Pissarides, 2013)","plainTextFormattedCitation":"(Pissarides, 2013)","previouslyFormattedCitation":"(Pissarides, 2013)"},"properties":{"noteIndex":0},"schema":"https://github.com/citation-style-language/schema/raw/master/csl-citation.json"}</w:instrText>
      </w:r>
      <w:r w:rsidR="00BF1E4D">
        <w:fldChar w:fldCharType="separate"/>
      </w:r>
      <w:r w:rsidR="00BF1E4D" w:rsidRPr="00BF1E4D">
        <w:rPr>
          <w:noProof/>
        </w:rPr>
        <w:t>(Pissarides, 2013)</w:t>
      </w:r>
      <w:r w:rsidR="00BF1E4D">
        <w:fldChar w:fldCharType="end"/>
      </w:r>
      <w:r w:rsidR="00EB1655">
        <w:t>.</w:t>
      </w:r>
    </w:p>
    <w:p w14:paraId="7CC0BB31" w14:textId="34F6E9C4" w:rsidR="00EB1655" w:rsidRDefault="000F79F2" w:rsidP="00924F39">
      <w:pPr>
        <w:spacing w:line="480" w:lineRule="auto"/>
        <w:ind w:firstLine="720"/>
        <w:jc w:val="both"/>
      </w:pPr>
      <w:r>
        <w:t>During the recession period, all indicat</w:t>
      </w:r>
      <w:r>
        <w:t>ors of the economy are negatively influenced which means that the rate of inflation is significant while the rate of unemployment is high due to the fact that companies are struggling with cutting down costs and expenses to remain afloat. The key objective</w:t>
      </w:r>
      <w:r>
        <w:t>s that companies have</w:t>
      </w:r>
      <w:r w:rsidR="004E2AE5">
        <w:t xml:space="preserve"> </w:t>
      </w:r>
      <w:r w:rsidR="004E2AE5" w:rsidRPr="004E2AE5">
        <w:rPr>
          <w:noProof/>
        </w:rPr>
        <w:t>is</w:t>
      </w:r>
      <w:bookmarkStart w:id="0" w:name="_GoBack"/>
      <w:bookmarkEnd w:id="0"/>
      <w:r>
        <w:t xml:space="preserve"> to ensure that they remain operational even if there is not enough profit generation as long as the company can sustain its operations. Different approaches are evaluated which provide a strategic understanding of important elements w</w:t>
      </w:r>
      <w:r>
        <w:t>hich help in defining better organizational outcomes. The integration of these elements is vital in highlighting crucial measures which aid in defining economic development</w:t>
      </w:r>
      <w:r w:rsidR="00BF1E4D">
        <w:t xml:space="preserve"> </w:t>
      </w:r>
      <w:r w:rsidR="00BF1E4D">
        <w:fldChar w:fldCharType="begin" w:fldLock="1"/>
      </w:r>
      <w:r w:rsidR="00BF1E4D">
        <w:instrText>ADDIN CSL_CITATION {"citationItems":[{"id":"ITEM-1","itemData":{"DOI":"10.1353/jod.2015.0009","ISBN":"1045-5736","ISSN":"1086-3214","PMID":"25246403","abstract":"[...]around 2006, the expansion of freedom and democracy in the world came to a prolonged halt. Since 2006, there has been no net expansion in the number of electoral democracies, which has oscillated between 114 and 119 (about 60 percent of the world's states). [...]they contend, many of the seeming failures of democracy in the last ten to fifteen years were really deteriorations or hardenings of what had been from the beginning authoritarian regimes, however competitive.","author":[{"dropping-particle":"","family":"Diamond","given":"Larry","non-dropping-particle":"","parse-names":false,"suffix":""}],"container-title":"Journal of Democracy","id":"ITEM-1","issued":{"date-parts":[["2015"]]},"title":"Facing Up to the Democratic Recession","type":"article-journal"},"uris":["http://www.mendeley.com/documents/?uuid=779271c2-d6bb-4a8c-90ce-2c938f83f3e7","http://www.mendeley.com/documents/?uuid=af1196a7-c6c1-4b50-b1bf-ea8eebfb8256"]}],"mendeley":{"formattedCitation":"(Diamond, 2015)","plainTextFormattedCitation":"(Diamond, 2015)","previouslyFormattedCitation":"(Diamond, 2015)"},"properties":{"noteIndex":0},"schema":"https://github.com/citation-style-language/schema/raw/master/csl-citation.json"}</w:instrText>
      </w:r>
      <w:r w:rsidR="00BF1E4D">
        <w:fldChar w:fldCharType="separate"/>
      </w:r>
      <w:r w:rsidR="00BF1E4D" w:rsidRPr="00BF1E4D">
        <w:rPr>
          <w:noProof/>
        </w:rPr>
        <w:t>(Diamond, 2015)</w:t>
      </w:r>
      <w:r w:rsidR="00BF1E4D">
        <w:fldChar w:fldCharType="end"/>
      </w:r>
      <w:r>
        <w:t>.</w:t>
      </w:r>
    </w:p>
    <w:p w14:paraId="2DC546C7" w14:textId="3BE65DF1" w:rsidR="00DE632B" w:rsidRDefault="000F79F2" w:rsidP="00924F39">
      <w:pPr>
        <w:spacing w:line="480" w:lineRule="auto"/>
        <w:ind w:firstLine="720"/>
        <w:jc w:val="both"/>
      </w:pPr>
      <w:r w:rsidRPr="00DE632B">
        <w:t>The financial structure provides an active environment where it is much easier to understand the overall position of the country regarding the critical factors of development, which might significantly influence foreign company in</w:t>
      </w:r>
      <w:r w:rsidRPr="00DE632B">
        <w:t xml:space="preserve">vestments. </w:t>
      </w:r>
      <w:r>
        <w:t>Countries focus on developing a w</w:t>
      </w:r>
      <w:r w:rsidRPr="00DE632B">
        <w:t xml:space="preserve">ell-engaged financial system, which works effectively, and substantially, with other stakeholders who have created a significant environment where growth and development </w:t>
      </w:r>
      <w:r w:rsidRPr="00DE632B">
        <w:lastRenderedPageBreak/>
        <w:t>can occur. The financial system has been s</w:t>
      </w:r>
      <w:r w:rsidRPr="00DE632B">
        <w:t>ignificantly engaged creating a better environment where the gross domestic product has improved considerably in recent past with significantly decreasing unemployment rates despite being one of the most populous countries in the world</w:t>
      </w:r>
      <w:r w:rsidR="00BF1E4D">
        <w:t xml:space="preserve"> </w:t>
      </w:r>
      <w:r w:rsidR="00BF1E4D">
        <w:fldChar w:fldCharType="begin" w:fldLock="1"/>
      </w:r>
      <w:r w:rsidR="00BF1E4D">
        <w:instrText>ADDIN CSL_CITATION {"citationItems":[{"id":"ITEM-1","itemData":{"DOI":"10.1257/aer.20101557","ISBN":"9781848441873","ISSN":"00028282","PMID":"25246403","abstract":"The ratio of global trade to GDP declined by nearly 30 percent during the global recession of 2008-2009. This large drop in international trade has generated significant attention and concern. Did the decline simply reflect the severity of the recession for traded goods industries? Or alternatively, did international trade shrink due to factors unique to cross border transactions? This paper merges an input-output framework with a gravity trade model and solves numerically several general equilibrium counterfactual scenarios which quantify the relative importance for the decline in trade of the changing composition of global GDP and changes in trade frictions. Our results suggest that the relative decline in demand for manufactures was the most important driver of the decline in manufacturing trade. Changes in demand for durable manufactures alone accounted for 65 percent of the cross-country variation in changes in manufacturing trade/GDP. The decline in total manufacturing demand (durables and non-durables) accounted for more than 80 percent of the global decline in trade/GDP. Trade frictions increased and played an important role in reducing trade in some countries, notably China and Japan, but decreased or remained relatively flat in others. Globally, the impact of these changes in trade frictions largely cancel each other out.","author":[{"dropping-particle":"","family":"Eaton","given":"Jonathan","non-dropping-particle":"","parse-names":false,"suffix":""},{"dropping-particle":"","family":"Kortum","given":"Samuel","non-dropping-particle":"","parse-names":false,"suffix":""},{"dropping-particle":"","family":"Neiman","given":"Brent","non-dropping-particle":"","parse-names":false,"suffix":""},{"dropping-particle":"","family":"Romalis","given":"John","non-dropping-particle":"","parse-names":false,"suffix":""}],"container-title":"American Economic Review","id":"ITEM-1","issued":{"date-parts":[["2016"]]},"title":"Trade and the global recession","type":"article-journal"},"uris":["http://www.mendeley.com/documents/?uuid=05c76fd8-e7ea-4a25-a5a0-37fd5b6b3e1f","http://www.mendeley.com/documents/?uuid=76db927d-8d3b-4282-a833-70f13ccfcd7f"]}],"mendeley":{"formattedCitation":"(Eaton, Kortum, Neiman, &amp; Romalis, 2016)","manualFormatting":"(Eaton et al., 2016)","plainTextFormattedCitation":"(Eaton, Kortum, Neiman, &amp; Romalis, 2016)","previouslyFormattedCitation":"(Eaton, Kortum, Neiman, &amp; Romalis, 2016)"},"properties":{"noteIndex":0},"schema":"https://github.com/citation-style-language/schema/raw/master/csl-citation.json"}</w:instrText>
      </w:r>
      <w:r w:rsidR="00BF1E4D">
        <w:fldChar w:fldCharType="separate"/>
      </w:r>
      <w:r w:rsidR="00BF1E4D" w:rsidRPr="00BF1E4D">
        <w:rPr>
          <w:noProof/>
        </w:rPr>
        <w:t>(Eaton</w:t>
      </w:r>
      <w:r w:rsidR="00BF1E4D">
        <w:rPr>
          <w:noProof/>
        </w:rPr>
        <w:t xml:space="preserve"> et al.</w:t>
      </w:r>
      <w:r w:rsidR="00BF1E4D" w:rsidRPr="00BF1E4D">
        <w:rPr>
          <w:noProof/>
        </w:rPr>
        <w:t>,</w:t>
      </w:r>
      <w:r w:rsidR="00BF1E4D">
        <w:rPr>
          <w:noProof/>
        </w:rPr>
        <w:t xml:space="preserve"> </w:t>
      </w:r>
      <w:r w:rsidR="00BF1E4D" w:rsidRPr="00BF1E4D">
        <w:rPr>
          <w:noProof/>
        </w:rPr>
        <w:t>2016)</w:t>
      </w:r>
      <w:r w:rsidR="00BF1E4D">
        <w:fldChar w:fldCharType="end"/>
      </w:r>
      <w:r w:rsidR="00BF1E4D">
        <w:t>.</w:t>
      </w:r>
    </w:p>
    <w:p w14:paraId="22A77E39" w14:textId="3EDB8487" w:rsidR="00BF1E4D" w:rsidRDefault="000F79F2" w:rsidP="00924F39">
      <w:pPr>
        <w:spacing w:line="480" w:lineRule="auto"/>
        <w:ind w:firstLine="720"/>
        <w:jc w:val="both"/>
      </w:pPr>
      <w:r w:rsidRPr="00EB1655">
        <w:t xml:space="preserve">The government operation depends on a number of factors which significantly influence how the </w:t>
      </w:r>
      <w:r w:rsidRPr="00EB1655">
        <w:t>entire organization and operations within a given government environment are undertaken. The overall understanding of some of the critical aspects that are in place which guide the total spending and operations of a government provides a better view on the</w:t>
      </w:r>
      <w:r w:rsidRPr="00EB1655">
        <w:t xml:space="preserve"> key issues that are in place to understand some common issues that are faced by the government in most cases</w:t>
      </w:r>
      <w:r>
        <w:t xml:space="preserve"> </w:t>
      </w:r>
      <w:r>
        <w:fldChar w:fldCharType="begin" w:fldLock="1"/>
      </w:r>
      <w:r>
        <w:instrText>ADDIN CSL_CITATION {"citationItems":[{"id":"ITEM-1","itemData":{"DOI":"10.1016/j.jhydrol.2015.03.028","ISBN":"0022-1694","ISSN":"00221694","abstra</w:instrText>
      </w:r>
      <w:r>
        <w:instrText>ct":"A streamflow hydrograph recession curve expresses the theoretical relationship between aquifer structure and groundwater outflow to a stream channel. That theoretical relationship is often portrayed empirically using a recession plot defined as a plot</w:instrText>
      </w:r>
      <w:r>
        <w:instrText xml:space="preserve"> of ln(-. dQ/. dt) versus ln(. Q), where Q is streamflow discharge. Such hydrograph recession plots are commonly used to estimate recession parameters, aquifer properties and for evaluating alternative hydrologic hypotheses. We introduce a comprehensive an</w:instrText>
      </w:r>
      <w:r>
        <w:instrText>d objective approach to analyze baseflow recessions with innovations including the use of quantile regression, efficient and objective numerical estimation of dQ/. dt, inclusion of groundwater withdrawals, and incorporation of seasonal effects. We document</w:instrText>
      </w:r>
      <w:r>
        <w:instrText xml:space="preserve"> that these innovations when all combined, lead to significant improvements, over previous studies, in our ability to discern the theoretical behavior of stream aquifer systems. A case study reveals that our methodology enables us to reject the simple line</w:instrText>
      </w:r>
      <w:r>
        <w:instrText>ar reservoir hypothesis of stream aquifer interactions for watersheds in New Jersey and results in improved correlations between low flow statistics and aquifer properties for those same watersheds.","author":[{"dropping-particle":"","family":"Thomas","giv</w:instrText>
      </w:r>
      <w:r>
        <w:instrText>en":"Brian F.","non-dropping-particle":"","parse-names":false,"suffix":""},{"dropping-particle":"","family":"Vogel","given":"Richard M.","non-dropping-particle":"","parse-names":false,"suffix":""},{"dropping-particle":"","family":"Famiglietti","given":"Jam</w:instrText>
      </w:r>
      <w:r>
        <w:instrText>es S.","non-dropping-particle":"","parse-names":false,"suffix":""}],"container-title":"Journal of Hydrology","id":"ITEM-1","issued":{"date-parts":[["2015"]]},"title":"Objective hydrograph baseflow recession analysis","type":"article-journal"},"uris":["http</w:instrText>
      </w:r>
      <w:r>
        <w:instrText>://www.mendeley.com/documents/?uuid=b6b15427-8eeb-4cde-bf79-3147aee04e42","http://www.mendeley.com/documents/?uuid=40abdd3a-e4d5-48b0-b4e7-065d23647a53"]}],"mendeley":{"formattedCitation":"(Thomas, Vogel, &amp; Famiglietti, 2015)","plainTextFormattedCitation":</w:instrText>
      </w:r>
      <w:r>
        <w:instrText>"(Thomas, Vogel, &amp; Famiglietti, 2015)","previouslyFormattedCitation":"(Thomas, Vogel, &amp; Famiglietti, 2015)"},"properties":{"noteIndex":0},"schema":"https://github.com/citation-style-language/schema/raw/master/csl-citation.json"}</w:instrText>
      </w:r>
      <w:r>
        <w:fldChar w:fldCharType="separate"/>
      </w:r>
      <w:r w:rsidRPr="00BF1E4D">
        <w:rPr>
          <w:noProof/>
        </w:rPr>
        <w:t>(Thomas, Vogel, &amp; Famigliett</w:t>
      </w:r>
      <w:r w:rsidRPr="00BF1E4D">
        <w:rPr>
          <w:noProof/>
        </w:rPr>
        <w:t>i, 2015)</w:t>
      </w:r>
      <w:r>
        <w:fldChar w:fldCharType="end"/>
      </w:r>
      <w:r w:rsidRPr="00EB1655">
        <w:t>.</w:t>
      </w:r>
    </w:p>
    <w:p w14:paraId="15F6E73B" w14:textId="0C2BC41D" w:rsidR="00EB1655" w:rsidRPr="00EB1655" w:rsidRDefault="000F79F2" w:rsidP="00924F39">
      <w:pPr>
        <w:spacing w:line="480" w:lineRule="auto"/>
        <w:ind w:firstLine="720"/>
        <w:jc w:val="both"/>
      </w:pPr>
      <w:r w:rsidRPr="00EB1655">
        <w:t xml:space="preserve"> Therefore, the government expenditure depends directly on the economic situation and thus implements significant policies to ensure that there is a better understanding of common elements, which need to be focused upon in creating an enabling</w:t>
      </w:r>
      <w:r w:rsidRPr="00EB1655">
        <w:t xml:space="preserve"> environment where common challenges such as government spending and economic recession can be effectively managed. Therefore this paper provides a critical understanding of two important topics, which include increased government spending to fight the rec</w:t>
      </w:r>
      <w:r w:rsidRPr="00EB1655">
        <w:t>ession and a balanced government budget</w:t>
      </w:r>
      <w:r w:rsidR="00BF1E4D">
        <w:t xml:space="preserve"> </w:t>
      </w:r>
      <w:r w:rsidR="00BF1E4D">
        <w:fldChar w:fldCharType="begin" w:fldLock="1"/>
      </w:r>
      <w:r w:rsidR="00BF1E4D">
        <w:instrText>ADDIN CSL_CITATION {"citationItems":[{"id":"ITEM-1","itemData":{"DOI":"10.1093/restud/rdt040","ISBN":"0034-6527","ISSN":"1467937X","PMID":"25246403","abstract":"Do generations growing up during recessions have different socio-economic beliefs than generations growing up in good times? We study the effects of experiencing a recession when young on individuals’ beliefs by matching macroeconomic shocks during early adulthood with self-reported answers from the General Social Survey. Using time and regional variations in macroeconomic conditions to identify the effect of recessions on beliefs, we show that individuals growing up during recessions support more government redistribution, but are less confident in public institutions. Moreover, we find that recessions have a long-lasting effect on individuals’ beliefs. 1","author":[{"dropping-particle":"","family":"Giuliano","given":"Paola","non-dropping-particle":"","parse-names":false,"suffix":""},{"dropping-particle":"","family":"Spilimbergo","given":"Antonio","non-dropping-particle":"","parse-names":false,"suffix":""}],"container-title":"Review of Economic Studies","id":"ITEM-1","issued":{"date-parts":[["2013"]]},"title":"Growing up in a recession","type":"article-journal"},"uris":["http://www.mendeley.com/documents/?uuid=7c140aa6-7bb3-4006-b6f9-c6e1488eb5cb"]}],"mendeley":{"formattedCitation":"(Giuliano &amp; Spilimbergo, 2013)","plainTextFormattedCitation":"(Giuliano &amp; Spilimbergo, 2013)","previouslyFormattedCitation":"(Giuliano &amp; Spilimbergo, 2013)"},"properties":{"noteIndex":0},"schema":"https://github.com/citation-style-language/schema/raw/master/csl-citation.json"}</w:instrText>
      </w:r>
      <w:r w:rsidR="00BF1E4D">
        <w:fldChar w:fldCharType="separate"/>
      </w:r>
      <w:r w:rsidR="00BF1E4D" w:rsidRPr="00BF1E4D">
        <w:rPr>
          <w:noProof/>
        </w:rPr>
        <w:t>(Giuliano &amp; Spilimbergo, 2013)</w:t>
      </w:r>
      <w:r w:rsidR="00BF1E4D">
        <w:fldChar w:fldCharType="end"/>
      </w:r>
      <w:r w:rsidRPr="00EB1655">
        <w:t xml:space="preserve">. </w:t>
      </w:r>
    </w:p>
    <w:p w14:paraId="3C11898B" w14:textId="4FA0739A" w:rsidR="00EB1655" w:rsidRPr="00EB1655" w:rsidRDefault="000F79F2" w:rsidP="00924F39">
      <w:pPr>
        <w:spacing w:line="480" w:lineRule="auto"/>
        <w:ind w:firstLine="720"/>
        <w:jc w:val="both"/>
      </w:pPr>
      <w:r w:rsidRPr="00EB1655">
        <w:t>The recession is a significant challenge that government phases in the cour</w:t>
      </w:r>
      <w:r w:rsidRPr="00EB1655">
        <w:t>se of its operations and thus a successful government is rated on how it can control the effects of recession within its environment to ensure that its operations are protected from the massive slump. It is crucial therefore as a government to implement be</w:t>
      </w:r>
      <w:r w:rsidRPr="00EB1655">
        <w:t>tter policies, which focus on creating a more sensitive environment where recession can be controlled. Among the conventional methods that are put in place to create a better environment, include increasing government spending to fight the recession. The o</w:t>
      </w:r>
      <w:r w:rsidRPr="00EB1655">
        <w:t xml:space="preserve">verall environment where better and effective </w:t>
      </w:r>
      <w:r w:rsidRPr="00EB1655">
        <w:lastRenderedPageBreak/>
        <w:t xml:space="preserve">management of recession can be considered is vital in defining the overall performance and efforts put in place by a given government since it shows clearly what the key interests of the government are and how </w:t>
      </w:r>
      <w:r w:rsidRPr="00EB1655">
        <w:t xml:space="preserve">they can be achieved </w:t>
      </w:r>
      <w:r w:rsidR="00BF1E4D">
        <w:fldChar w:fldCharType="begin" w:fldLock="1"/>
      </w:r>
      <w:r w:rsidR="00BF1E4D">
        <w:instrText>ADDIN CSL_CITATION {"citationItems":[{"id":"ITEM-1","itemData":{"DOI":"10.1017/S0003055412000603","ISBN":"1537-5943","ISSN":"15375943","abstract":"&lt;p&gt;To what extent do personal circumstances, as compared to ideological dispositions, drive voters’ preferences on welfare policy? Addressing this question is difficult because a person's ideological position can be an outcome of material interest rather than an independent source of preferences. The article deals with this empirical challenge using an original panel study carried out over four years, tracking the labor market experiences and the political attitudes of a national sample of Americans before and after the eruption of the financial crisis. The analysis shows that the personal experience of economic hardship, particularly the loss of a job, had a major effect on increasing support for welfare spending. This effect was appreciably larger among Republicans than among Democrats, a result that was not simply due to a “ceiling effect.” However the large attitudinal shift was short lived, dissipating as individuals’ employment situations improved. The results indicate that the personal experience of an economic shock has a sizable, yet overall transient effect on voters’ social policy preferences.&lt;/p&gt;","author":[{"dropping-particle":"","family":"Margalit","given":"Yotam","non-dropping-particle":"","parse-names":false,"suffix":""}],"container-title":"American Political Science Review","id":"ITEM-1","issued":{"date-parts":[["2013"]]},"title":"Explaining social policy preferences: Evidence from the great recession","type":"article-journal"},"uris":["http://www.mendeley.com/documents/?uuid=a3388de0-7176-4f88-bf18-8b7c7e6bea42","http://www.mendeley.com/documents/?uuid=499a3831-921c-4a63-af44-decc8eb2fef7"]}],"mendeley":{"formattedCitation":"(Margalit, 2013)","plainTextFormattedCitation":"(Margalit, 2013)","previouslyFormattedCitation":"(Margalit, 2013)"},"properties":{"noteIndex":0},"schema":"https://github.com/citation-style-language/schema/raw/master/csl-citation.json"}</w:instrText>
      </w:r>
      <w:r w:rsidR="00BF1E4D">
        <w:fldChar w:fldCharType="separate"/>
      </w:r>
      <w:r w:rsidR="00BF1E4D" w:rsidRPr="00BF1E4D">
        <w:rPr>
          <w:noProof/>
        </w:rPr>
        <w:t>(Margalit, 2013)</w:t>
      </w:r>
      <w:r w:rsidR="00BF1E4D">
        <w:fldChar w:fldCharType="end"/>
      </w:r>
      <w:r w:rsidRPr="00EB1655">
        <w:t>.</w:t>
      </w:r>
    </w:p>
    <w:p w14:paraId="07D67271" w14:textId="463BEF81" w:rsidR="00EB1655" w:rsidRPr="00EB1655" w:rsidRDefault="000F79F2" w:rsidP="00924F39">
      <w:pPr>
        <w:spacing w:line="480" w:lineRule="auto"/>
        <w:ind w:firstLine="720"/>
        <w:jc w:val="both"/>
      </w:pPr>
      <w:r w:rsidRPr="00EB1655">
        <w:t>During the recession, there are a number of expansionary fiscal policies that are implemented to provide a better platform where the government can be able to create a better understanding on some of the commo</w:t>
      </w:r>
      <w:r w:rsidRPr="00EB1655">
        <w:t>n ways to deal with the recession. Expansionary fiscal policies that are put in place include increasing government expenditure. It is important to understand that the government revenue is based on the collected taxes and thus an environment where the tax</w:t>
      </w:r>
      <w:r w:rsidRPr="00EB1655">
        <w:t>es exceeds the government there is a surplus, and when the government spends more than the collected taxes, there is a deficit which means that the government is not sustainable. A balanced government budget results in an environment where the government e</w:t>
      </w:r>
      <w:r w:rsidRPr="00EB1655">
        <w:t>xpenditure equal to the taxes collected. Therefore, better engagement techniques such as increasing government spending provide a critical platform where recession can be managed but it is important to understand the position at which the government spendi</w:t>
      </w:r>
      <w:r w:rsidRPr="00EB1655">
        <w:t>ng is sustainable or not</w:t>
      </w:r>
      <w:r w:rsidR="00BF1E4D">
        <w:t xml:space="preserve"> </w:t>
      </w:r>
      <w:r w:rsidR="00BF1E4D">
        <w:fldChar w:fldCharType="begin" w:fldLock="1"/>
      </w:r>
      <w:r w:rsidR="00BF1E4D">
        <w:instrText>ADDIN CSL_CITATION {"citationItems":[{"id":"ITEM-1","itemData":{"DOI":"10.1111/ecca.12026","ISBN":"00130427","ISSN":"00130427","abstract":"This paper studies the responses of unemployment in Germany, the USA and the UK to the Great Recession of 2008–9 using Beveridge curve analysis, and in the entire OECD using other techniques. It is shown that the UK suffered from recession but no structural problems; the USA suffered from structural unemployment during the recovery; Germany exhibited a much better performance both during and after the recession. The rise in OECD unemployment is broken down into parts due to aggregate activity, the construction sector and a residual attributed to policies and institutions, which is used to reach conclusions about policy.","author":[{"dropping-particle":"","family":"Pissarides","given":"Christopher A.","non-dropping-particle":"","parse-names":false,"suffix":""}],"container-title":"Economica","id":"ITEM-1","issued":{"date-parts":[["2013"]]},"title":"Unemployment in the Great Recession","type":"article-journal"},"uris":["http://www.mendeley.com/documents/?uuid=df0aba54-9aec-4aa7-94ee-c662cd916902"]}],"mendeley":{"formattedCitation":"(Pissarides, 2013)","plainTextFormattedCitation":"(Pissarides, 2013)","previouslyFormattedCitation":"(Pissarides, 2013)"},"properties":{"noteIndex":0},"schema":"https://github.com/citation-style-language/schema/raw/master/csl-citation.json"}</w:instrText>
      </w:r>
      <w:r w:rsidR="00BF1E4D">
        <w:fldChar w:fldCharType="separate"/>
      </w:r>
      <w:r w:rsidR="00BF1E4D" w:rsidRPr="00BF1E4D">
        <w:rPr>
          <w:noProof/>
        </w:rPr>
        <w:t>(Pissarides, 2013)</w:t>
      </w:r>
      <w:r w:rsidR="00BF1E4D">
        <w:fldChar w:fldCharType="end"/>
      </w:r>
      <w:r w:rsidR="00BF1E4D">
        <w:t>.</w:t>
      </w:r>
    </w:p>
    <w:p w14:paraId="48F0FD77" w14:textId="12C663E2" w:rsidR="00EB1655" w:rsidRPr="00EB1655" w:rsidRDefault="000F79F2" w:rsidP="00924F39">
      <w:pPr>
        <w:spacing w:line="480" w:lineRule="auto"/>
        <w:ind w:firstLine="720"/>
        <w:jc w:val="both"/>
      </w:pPr>
      <w:r w:rsidRPr="00EB1655">
        <w:t xml:space="preserve">Increased government spending to fight recession emphasizes on </w:t>
      </w:r>
      <w:r w:rsidRPr="00EB1655">
        <w:t>job creation, which is an important aspect that focuses on improving the overall economic growth within the country, and thus the increased spending, in this case, focuses on the underlying issues involving economic stability.  Increased government spendin</w:t>
      </w:r>
      <w:r w:rsidRPr="00EB1655">
        <w:t>g also focuses on investing in the private sector through ensuring that there are better tariffs in place which can be significantly exploited to create a favorable environment where a better understanding of government focus on growth and development. The</w:t>
      </w:r>
      <w:r w:rsidRPr="00EB1655">
        <w:t xml:space="preserve"> focus, in this case, is therefore apparent and provides a clear roadmap on how crucial aspects within organizational development can be effectively and successfully considered. Putting in place an overall picture, which is critical in promoting the overal</w:t>
      </w:r>
      <w:r w:rsidRPr="00EB1655">
        <w:t xml:space="preserve">l position of the government in dealing with the recession, are critical </w:t>
      </w:r>
      <w:r w:rsidR="00BF1E4D">
        <w:fldChar w:fldCharType="begin" w:fldLock="1"/>
      </w:r>
      <w:r w:rsidR="00BF1E4D">
        <w:instrText>ADDIN CSL_CITATION {"citationItems":[{"id":"ITEM-1","itemData":{"DOI":"10.1257/aer.20101557","ISBN":"9781848441873","ISSN":"00028282","PMID":"25246403","abstract":"The ratio of global trade to GDP declined by nearly 30 percent during the global recession of 2008-2009. This large drop in international trade has generated significant attention and concern. Did the decline simply reflect the severity of the recession for traded goods industries? Or alternatively, did international trade shrink due to factors unique to cross border transactions? This paper merges an input-output framework with a gravity trade model and solves numerically several general equilibrium counterfactual scenarios which quantify the relative importance for the decline in trade of the changing composition of global GDP and changes in trade frictions. Our results suggest that the relative decline in demand for manufactures was the most important driver of the decline in manufacturing trade. Changes in demand for durable manufactures alone accounted for 65 percent of the cross-country variation in changes in manufacturing trade/GDP. The decline in total manufacturing demand (durables and non-durables) accounted for more than 80 percent of the global decline in trade/GDP. Trade frictions increased and played an important role in reducing trade in some countries, notably China and Japan, but decreased or remained relatively flat in others. Globally, the impact of these changes in trade frictions largely cancel each other out.","author":[{"dropping-particle":"","family":"Eaton","given":"Jonathan","non-dropping-particle":"","parse-names":false,"suffix":""},{"dropping-particle":"","family":"Kortum","given":"Samuel","non-dropping-particle":"","parse-names":false,"suffix":""},{"dropping-particle":"","family":"Neiman","given":"Brent","non-dropping-particle":"","parse-names":false,"suffix":""},{"dropping-particle":"","family":"Romalis","given":"John","non-dropping-particle":"","parse-names":false,"suffix":""}],"container-title":"American Economic Review","id":"ITEM-1","issued":{"date-parts":[["2016"]]},"title":"Trade and the global recession","type":"article-journal"},"uris":["http://www.mendeley.com/documents/?uuid=76db927d-8d3b-4282-a833-70f13ccfcd7f"]}],"mendeley":{"formattedCitation":"(Eaton et al., 2016)","plainTextFormattedCitation":"(Eaton et al., 2016)","previouslyFormattedCitation":"(Eaton et al., 2016)"},"properties":{"noteIndex":0},"schema":"https://github.com/citation-style-language/schema/raw/master/csl-citation.json"}</w:instrText>
      </w:r>
      <w:r w:rsidR="00BF1E4D">
        <w:fldChar w:fldCharType="separate"/>
      </w:r>
      <w:r w:rsidR="00BF1E4D" w:rsidRPr="00BF1E4D">
        <w:rPr>
          <w:noProof/>
        </w:rPr>
        <w:t>(Eaton et al., 2016)</w:t>
      </w:r>
      <w:r w:rsidR="00BF1E4D">
        <w:fldChar w:fldCharType="end"/>
      </w:r>
      <w:r w:rsidR="00BF1E4D">
        <w:t>.</w:t>
      </w:r>
    </w:p>
    <w:p w14:paraId="6914C46D" w14:textId="4A19B0A6" w:rsidR="00EB1655" w:rsidRDefault="000F79F2" w:rsidP="00924F39">
      <w:pPr>
        <w:spacing w:line="480" w:lineRule="auto"/>
        <w:ind w:firstLine="720"/>
        <w:jc w:val="both"/>
      </w:pPr>
      <w:r w:rsidRPr="00EB1655">
        <w:lastRenderedPageBreak/>
        <w:t xml:space="preserve">However even though increasing government spending has positive aspects to it, the challenges of implementing such technique in fighting recession thus create a very much engaged environment where it is quite easy to create an overall picture where better </w:t>
      </w:r>
      <w:r w:rsidRPr="00EB1655">
        <w:t>government decisions can be made — increasing government-spending increases foreign trade, which does not significantly focus on growing the internal markets. The emphasis on this method, therefore, does not put in place critical elements that provide a si</w:t>
      </w:r>
      <w:r w:rsidRPr="00EB1655">
        <w:t xml:space="preserve">gnificant guide where better decision-making processes can be adequately considered </w:t>
      </w:r>
      <w:r w:rsidR="00BF1E4D">
        <w:fldChar w:fldCharType="begin" w:fldLock="1"/>
      </w:r>
      <w:r w:rsidR="00BF1E4D">
        <w:instrText>ADDIN CSL_CITATION {"citationItems":[{"id":"ITEM-1","itemData":{"DOI":"10.1002/jtr.1898","ISBN":"1522-1970","ISSN":"10992340","PMID":"97874528","abstract":"The continual high turnover rate in the tourism and hospitality industry is the most problematic managerial topic. Using a sample of 304 travel agency employees, this research aims to identify differences in turnover antecedents between newcomers from graduate school or other industries and newcomers from the same industry. The results suggest several differences in both newcomer groups. Supervisor support is an antecedent for veterans, whereas personnel management, prospects and job‐related factors are only significant for neophytes. External causes were revealed as the most significant antecedents in both groups, whereas co‐worker support was not significant for turnover intention in either group. Copyright © 2012 John Wiley &amp; Sons, Ltd.","author":[{"dropping-particle":"","family":"Kim","given":"Namhyun","non-dropping-particle":"","parse-names":false,"suffix":""}],"container-title":"International Journal of Tourism Research","id":"ITEM-1","issued":{"date-parts":[["2014"]]},"title":"Employee turnover intention among newcomers in travel industry","type":"article-journal"},"uris":["http://www.mendeley.com/documents/?uuid=d7cf5dfd-9ccf-4916-ba64-e278bbe7b90a"]}],"mendeley":{"formattedCitation":"(Kim, 2014)","plainTextFormattedCitation":"(Kim, 2014)","previouslyFormattedCitation":"(Kim, 2014)"},"properties":{"noteIndex":0},"schema":"https://github.com/citation-style-language/schema/raw/master/csl-citation.json"}</w:instrText>
      </w:r>
      <w:r w:rsidR="00BF1E4D">
        <w:fldChar w:fldCharType="separate"/>
      </w:r>
      <w:r w:rsidR="00BF1E4D" w:rsidRPr="00BF1E4D">
        <w:rPr>
          <w:noProof/>
        </w:rPr>
        <w:t>(Kim, 2014)</w:t>
      </w:r>
      <w:r w:rsidR="00BF1E4D">
        <w:fldChar w:fldCharType="end"/>
      </w:r>
      <w:r w:rsidR="00BF1E4D">
        <w:t>.</w:t>
      </w:r>
      <w:r w:rsidRPr="00EB1655">
        <w:t xml:space="preserve">  Higher government spending does not necessarily secure the future but leaves a much-disorganized enviro</w:t>
      </w:r>
      <w:r w:rsidRPr="00EB1655">
        <w:t xml:space="preserve">nment where better decisions can be made based on the considerations that are in place. This increases future taxes, which results in uncertainty in the future. The business will significantly have </w:t>
      </w:r>
      <w:r w:rsidRPr="00515DCC">
        <w:rPr>
          <w:noProof/>
          <w:u w:val="thick" w:color="E2534F"/>
        </w:rPr>
        <w:t>less</w:t>
      </w:r>
      <w:r w:rsidRPr="00EB1655">
        <w:t xml:space="preserve"> profit margins in future while tax values will increa</w:t>
      </w:r>
      <w:r w:rsidRPr="00EB1655">
        <w:t xml:space="preserve">se leading to a challenging working environment. It is therefore important to understand that increased government spending in </w:t>
      </w:r>
      <w:r w:rsidRPr="00515DCC">
        <w:rPr>
          <w:noProof/>
          <w:u w:val="thick" w:color="E2534F"/>
        </w:rPr>
        <w:t>battling</w:t>
      </w:r>
      <w:r w:rsidRPr="00EB1655">
        <w:t xml:space="preserve"> recession is only a short-term technique but the overall picture at more advanced years presents a tough environment mak</w:t>
      </w:r>
      <w:r w:rsidRPr="00EB1655">
        <w:t>ing it less viable</w:t>
      </w:r>
      <w:r w:rsidR="00BF1E4D">
        <w:t xml:space="preserve"> </w:t>
      </w:r>
      <w:r w:rsidR="00BF1E4D">
        <w:fldChar w:fldCharType="begin" w:fldLock="1"/>
      </w:r>
      <w:r w:rsidR="00BF1E4D">
        <w:instrText>ADDIN CSL_CITATION {"citationItems":[{"id":"ITEM-1","itemData":{"DOI":"10.1016/j.jhydrol.2015.03.028","ISBN":"0022-1694","ISSN":"00221694","abstract":"A streamflow hydrograph recession curve expresses the theoretical relationship between aquifer structure and groundwater outflow to a stream channel. That theoretical relationship is often portrayed empirically using a recession plot defined as a plot of ln(-. dQ/. dt) versus ln(. Q), where Q is streamflow discharge. Such hydrograph recession plots are commonly used to estimate recession parameters, aquifer properties and for evaluating alternative hydrologic hypotheses. We introduce a comprehensive and objective approach to analyze baseflow recessions with innovations including the use of quantile regression, efficient and objective numerical estimation of dQ/. dt, inclusion of groundwater withdrawals, and incorporation of seasonal effects. We document that these innovations when all combined, lead to significant improvements, over previous studies, in our ability to discern the theoretical behavior of stream aquifer systems. A case study reveals that our methodology enables us to reject the simple linear reservoir hypothesis of stream aquifer interactions for watersheds in New Jersey and results in improved correlations between low flow statistics and aquifer properties for those same watersheds.","author":[{"dropping-particle":"","family":"Thomas","given":"Brian F.","non-dropping-particle":"","parse-names":false,"suffix":""},{"dropping-particle":"","family":"Vogel","given":"Richard M.","non-dropping-particle":"","parse-names":false,"suffix":""},{"dropping-particle":"","family":"Famiglietti","given":"James S.","non-dropping-particle":"","parse-names":false,"suffix":""}],"container-title":"Journal of Hydrology","id":"ITEM-1","issued":{"date-parts":[["2015"]]},"title":"Objective hydrograph baseflow recession analysis","type":"article-journal"},"uris":["http://www.mendeley.com/documents/?uuid=40abdd3a-e4d5-48b0-b4e7-065d23647a53"]}],"mendeley":{"formattedCitation":"(Thomas et al., 2015)","plainTextFormattedCitation":"(Thomas et al., 2015)","previouslyFormattedCitation":"(Thomas et al., 2015)"},"properties":{"noteIndex":0},"schema":"https://github.com/citation-style-language/schema/raw/master/csl-citation.json"}</w:instrText>
      </w:r>
      <w:r w:rsidR="00BF1E4D">
        <w:fldChar w:fldCharType="separate"/>
      </w:r>
      <w:r w:rsidR="00BF1E4D" w:rsidRPr="00BF1E4D">
        <w:rPr>
          <w:noProof/>
        </w:rPr>
        <w:t>(Thomas et al., 2015)</w:t>
      </w:r>
      <w:r w:rsidR="00BF1E4D">
        <w:fldChar w:fldCharType="end"/>
      </w:r>
      <w:r w:rsidR="00924F39">
        <w:t>.</w:t>
      </w:r>
    </w:p>
    <w:p w14:paraId="7A796248" w14:textId="56DFECA5" w:rsidR="00924F39" w:rsidRPr="00EB1655" w:rsidRDefault="000F79F2" w:rsidP="00924F39">
      <w:pPr>
        <w:spacing w:line="480" w:lineRule="auto"/>
        <w:ind w:firstLine="720"/>
        <w:jc w:val="both"/>
      </w:pPr>
      <w:r w:rsidRPr="00924F39">
        <w:t>In effectively understanding the important aspects of a balanced budget, there are critical positives that result from a balanced budget making it an important factor. There is a significant decrease in interest's rat</w:t>
      </w:r>
      <w:r w:rsidRPr="00924F39">
        <w:t>es, which makes it easier for businesses and individuals to invest. A balanced budget provides a better environment where savings and investments can be effectively considered and thus creates significant security to individuals creating a much sustainable</w:t>
      </w:r>
      <w:r w:rsidRPr="00924F39">
        <w:t xml:space="preserve"> environment for both its citizens and investors. The economy under a balanced budget can grow steadily over a long period which ensures that there are better underlying aspects which create a better environment where better government engagement can be co</w:t>
      </w:r>
      <w:r w:rsidRPr="00924F39">
        <w:t>nsidered</w:t>
      </w:r>
      <w:r w:rsidR="00BF1E4D">
        <w:t xml:space="preserve"> </w:t>
      </w:r>
      <w:r w:rsidR="00BF1E4D">
        <w:fldChar w:fldCharType="begin" w:fldLock="1"/>
      </w:r>
      <w:r w:rsidR="00BF1E4D">
        <w:instrText>ADDIN CSL_CITATION {"citationItems":[{"id":"ITEM-1","itemData":{"DOI":"10.1017/S0003055412000603","ISBN":"1537-5943","ISSN":"15375943","abstract":"&lt;p&gt;To what extent do personal circumstances, as compared to ideological dispositions, drive voters’ preferences on welfare policy? Addressing this question is difficult because a person's ideological position can be an outcome of material interest rather than an independent source of preferences. The article deals with this empirical challenge using an original panel study carried out over four years, tracking the labor market experiences and the political attitudes of a national sample of Americans before and after the eruption of the financial crisis. The analysis shows that the personal experience of economic hardship, particularly the loss of a job, had a major effect on increasing support for welfare spending. This effect was appreciably larger among Republicans than among Democrats, a result that was not simply due to a “ceiling effect.” However the large attitudinal shift was short lived, dissipating as individuals’ employment situations improved. The results indicate that the personal experience of an economic shock has a sizable, yet overall transient effect on voters’ social policy preferences.&lt;/p&gt;","author":[{"dropping-particle":"","family":"Margalit","given":"Yotam","non-dropping-particle":"","parse-names":false,"suffix":""}],"container-title":"American Political Science Review","id":"ITEM-1","issued":{"date-parts":[["2013"]]},"title":"Explaining social policy preferences: Evidence from the great recession","type":"article-journal"},"uris":["http://www.mendeley.com/documents/?uuid=499a3831-921c-4a63-af44-decc8eb2fef7"]}],"mendeley":{"formattedCitation":"(Margalit, 2013)","plainTextFormattedCitation":"(Margalit, 2013)","previouslyFormattedCitation":"(Margalit, 2013)"},"properties":{"noteIndex":0},"schema":"https://github.com/citation-style-language/schema/raw/master/csl-citation.json"}</w:instrText>
      </w:r>
      <w:r w:rsidR="00BF1E4D">
        <w:fldChar w:fldCharType="separate"/>
      </w:r>
      <w:r w:rsidR="00BF1E4D" w:rsidRPr="00BF1E4D">
        <w:rPr>
          <w:noProof/>
        </w:rPr>
        <w:t>(Margalit, 2013)</w:t>
      </w:r>
      <w:r w:rsidR="00BF1E4D">
        <w:fldChar w:fldCharType="end"/>
      </w:r>
      <w:r w:rsidR="00BF1E4D">
        <w:t>.</w:t>
      </w:r>
    </w:p>
    <w:p w14:paraId="51DC489C" w14:textId="02FDAFE4" w:rsidR="00EB1655" w:rsidRDefault="000F79F2" w:rsidP="00924F39">
      <w:pPr>
        <w:spacing w:line="480" w:lineRule="auto"/>
        <w:ind w:firstLine="720"/>
        <w:jc w:val="both"/>
      </w:pPr>
      <w:r w:rsidRPr="00DE632B">
        <w:lastRenderedPageBreak/>
        <w:t xml:space="preserve">However, it is also important to understand </w:t>
      </w:r>
      <w:r w:rsidRPr="00DE632B">
        <w:t xml:space="preserve">that having a balanced budget every year is not a viable consideration from an economic point of view. If a government significantly has a </w:t>
      </w:r>
      <w:r w:rsidR="00BF1E4D" w:rsidRPr="00DE632B">
        <w:t>balanced budget economic downturn</w:t>
      </w:r>
      <w:r w:rsidRPr="00DE632B">
        <w:t xml:space="preserve"> are likely to be significantly painful making it difficult for businesses to recove</w:t>
      </w:r>
      <w:r w:rsidRPr="00DE632B">
        <w:t>r. If a balanced budget is required under an environment where there is a deficit, the required cuts are likely to be even worse considering the huge efforts needed to stabilize the overall government operations to the desirable environment witnessed</w:t>
      </w:r>
      <w:r>
        <w:t xml:space="preserve">. </w:t>
      </w:r>
      <w:r w:rsidR="00924F39">
        <w:t>Thus it is important to understand different concepts which define government expenditure in determining the level of economic strength</w:t>
      </w:r>
      <w:r w:rsidR="00BF1E4D">
        <w:t xml:space="preserve"> </w:t>
      </w:r>
      <w:r w:rsidR="00BF1E4D">
        <w:fldChar w:fldCharType="begin" w:fldLock="1"/>
      </w:r>
      <w:r w:rsidR="00ED6016">
        <w:instrText>ADDIN CSL_CITATION {"citationItems":[{"id":"ITEM-1","itemData":{"DOI":"10.1186/1475-2875-12-133","ISBN":"1475-2875 (Electronic)\\r1475-2875 (Linking)","ISSN":"14752875","PMID":"23594701","abstract":"BACKGROUND: The past century has seen a significant contraction in the global extent of malaria transmission, resulting in over 50 countries being declared malaria free, and many regions of currently endemic countries eliminating the disease. Moreover, substantial reductions in transmission have been seen since 1900 in those areas that remain endemic today. Recent work showed that this malaria recession was unlikely to have been driven by climatic factors, and that control measures likely played a significant role. It has long been considered, however, that economic development, and particularly urbanization, has also been a causal factor. The urbanization process results in profound socio-economic and landscape changes that reduce malaria transmission, but the magnitude and extent of these effects on global endemicity reductions are poorly understood. METHODS: Global data at subnational spatial resolution on changes in malaria transmission intensity and urbanization trends over the past century were combined to examine the relationships seen over a range of spatial and temporal scales.Results/Conclusions: A consistent pattern of increased urbanization coincident with decreasing malaria transmission and elimination over the past century was found. Whilst it remains challenging to untangle whether this increased urbanization resulted in decreased transmission, or that malaria reductions promoted development, the results point to a close relationship between the two, irrespective of national wealth. The continuing rapid urbanization in malaria-endemic regions suggests that such malaria declines are likely to continue, particularly catalyzed by increasing levels of direct malaria control.","author":[{"dropping-particle":"","family":"Tatem","given":"Andrew J.","non-dropping-particle":"","parse-names":false,"suffix":""},{"dropping-particle":"","family":"Gething","given":"Peter W.","non-dropping-particle":"","parse-names":false,"suffix":""},{"dropping-particle":"","family":"Smith","given":"David L.","non-dropping-particle":"","parse-names":false,"suffix":""},{"dropping-particle":"","family":"Hay","given":"Simon I.","non-dropping-particle":"","parse-names":false,"suffix":""}],"container-title":"Malaria Journal","id":"ITEM-1","issued":{"date-parts":[["2013"]]},"title":"Urbanization and the global malaria recession","type":"article-journal"},"uris":["http://www.mendeley.com/documents/?uuid=bfec4e84-820e-434e-b445-fe57fe8043b4","http://www.mendeley.com/documents/?uuid=59a8afbb-b9af-4233-9bfe-e20d60f38b22"]}],"mendeley":{"formattedCitation":"(Tatem, Gething, Smith, &amp; Hay, 2013)","manualFormatting":"(Tatem et al., 2013)","plainTextFormattedCitation":"(Tatem, Gething, Smith, &amp; Hay, 2013)","previouslyFormattedCitation":"(Tatem, Gething, Smith, &amp; Hay, 2013)"},"properties":{"noteIndex":0},"schema":"https://github.com/citation-style-language/schema/raw/master/csl-citation.json"}</w:instrText>
      </w:r>
      <w:r w:rsidR="00BF1E4D">
        <w:fldChar w:fldCharType="separate"/>
      </w:r>
      <w:r w:rsidR="00BF1E4D" w:rsidRPr="00BF1E4D">
        <w:rPr>
          <w:noProof/>
        </w:rPr>
        <w:t>(Tatem</w:t>
      </w:r>
      <w:r w:rsidR="00BF1E4D">
        <w:rPr>
          <w:noProof/>
        </w:rPr>
        <w:t xml:space="preserve"> et al., </w:t>
      </w:r>
      <w:r w:rsidR="00BF1E4D" w:rsidRPr="00BF1E4D">
        <w:rPr>
          <w:noProof/>
        </w:rPr>
        <w:t>2013)</w:t>
      </w:r>
      <w:r w:rsidR="00BF1E4D">
        <w:fldChar w:fldCharType="end"/>
      </w:r>
      <w:r w:rsidR="00924F39">
        <w:t xml:space="preserve">. Investing within a </w:t>
      </w:r>
      <w:r w:rsidR="00BF1E4D">
        <w:t>given</w:t>
      </w:r>
      <w:r w:rsidR="00924F39">
        <w:t xml:space="preserve"> country is based on the evaluation of relevant concepts which are essential in determining important measures which determine improved outcomes. Understanding factors that contribute to economic recession ensure that there is a strong development where it is easier to define better economic engagement within a given setting. </w:t>
      </w:r>
    </w:p>
    <w:p w14:paraId="4E812D9B" w14:textId="4CBF7790" w:rsidR="00ED6016" w:rsidRDefault="00ED6016" w:rsidP="00924F39">
      <w:pPr>
        <w:spacing w:line="480" w:lineRule="auto"/>
        <w:ind w:firstLine="720"/>
        <w:jc w:val="both"/>
      </w:pPr>
    </w:p>
    <w:p w14:paraId="685AAA80" w14:textId="794BCC82" w:rsidR="00ED6016" w:rsidRDefault="00ED6016" w:rsidP="00924F39">
      <w:pPr>
        <w:spacing w:line="480" w:lineRule="auto"/>
        <w:ind w:firstLine="720"/>
        <w:jc w:val="both"/>
      </w:pPr>
    </w:p>
    <w:p w14:paraId="6BF19986" w14:textId="2E9BA517" w:rsidR="00ED6016" w:rsidRDefault="00ED6016" w:rsidP="00924F39">
      <w:pPr>
        <w:spacing w:line="480" w:lineRule="auto"/>
        <w:ind w:firstLine="720"/>
        <w:jc w:val="both"/>
      </w:pPr>
    </w:p>
    <w:p w14:paraId="24191D21" w14:textId="727F302F" w:rsidR="00ED6016" w:rsidRDefault="00ED6016" w:rsidP="00924F39">
      <w:pPr>
        <w:spacing w:line="480" w:lineRule="auto"/>
        <w:ind w:firstLine="720"/>
        <w:jc w:val="both"/>
      </w:pPr>
    </w:p>
    <w:p w14:paraId="146879EE" w14:textId="071A66DF" w:rsidR="00ED6016" w:rsidRDefault="00ED6016" w:rsidP="00924F39">
      <w:pPr>
        <w:spacing w:line="480" w:lineRule="auto"/>
        <w:ind w:firstLine="720"/>
        <w:jc w:val="both"/>
      </w:pPr>
    </w:p>
    <w:p w14:paraId="1AE93076" w14:textId="7EF4E239" w:rsidR="00ED6016" w:rsidRDefault="00ED6016" w:rsidP="00924F39">
      <w:pPr>
        <w:spacing w:line="480" w:lineRule="auto"/>
        <w:ind w:firstLine="720"/>
        <w:jc w:val="both"/>
      </w:pPr>
    </w:p>
    <w:p w14:paraId="1397B03A" w14:textId="3D505CF0" w:rsidR="00ED6016" w:rsidRDefault="00ED6016" w:rsidP="00924F39">
      <w:pPr>
        <w:spacing w:line="480" w:lineRule="auto"/>
        <w:ind w:firstLine="720"/>
        <w:jc w:val="both"/>
      </w:pPr>
    </w:p>
    <w:p w14:paraId="4F0A420C" w14:textId="57949E8D" w:rsidR="00ED6016" w:rsidRDefault="00ED6016" w:rsidP="00924F39">
      <w:pPr>
        <w:spacing w:line="480" w:lineRule="auto"/>
        <w:ind w:firstLine="720"/>
        <w:jc w:val="both"/>
      </w:pPr>
    </w:p>
    <w:p w14:paraId="7B93590B" w14:textId="5ECBE252" w:rsidR="00ED6016" w:rsidRDefault="00ED6016" w:rsidP="00924F39">
      <w:pPr>
        <w:spacing w:line="480" w:lineRule="auto"/>
        <w:ind w:firstLine="720"/>
        <w:jc w:val="both"/>
      </w:pPr>
    </w:p>
    <w:p w14:paraId="4EB65036" w14:textId="432FFB16" w:rsidR="00ED6016" w:rsidRDefault="00ED6016" w:rsidP="00924F39">
      <w:pPr>
        <w:spacing w:line="480" w:lineRule="auto"/>
        <w:ind w:firstLine="720"/>
        <w:jc w:val="both"/>
      </w:pPr>
    </w:p>
    <w:p w14:paraId="22C0622C" w14:textId="00C88FDA" w:rsidR="00ED6016" w:rsidRDefault="000F79F2" w:rsidP="00ED6016">
      <w:pPr>
        <w:spacing w:line="480" w:lineRule="auto"/>
        <w:ind w:firstLine="720"/>
        <w:jc w:val="center"/>
      </w:pPr>
      <w:r>
        <w:lastRenderedPageBreak/>
        <w:t>References</w:t>
      </w:r>
    </w:p>
    <w:p w14:paraId="233915E1" w14:textId="066F8EDE" w:rsidR="00ED6016" w:rsidRPr="00ED6016" w:rsidRDefault="000F79F2" w:rsidP="00ED6016">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ED6016">
        <w:rPr>
          <w:rFonts w:cs="Times New Roman"/>
          <w:noProof/>
          <w:szCs w:val="24"/>
        </w:rPr>
        <w:t xml:space="preserve">Diamond, L. (2015). Facing Up to the Democratic Recession. </w:t>
      </w:r>
      <w:r w:rsidRPr="00ED6016">
        <w:rPr>
          <w:rFonts w:cs="Times New Roman"/>
          <w:i/>
          <w:iCs/>
          <w:noProof/>
          <w:szCs w:val="24"/>
        </w:rPr>
        <w:t>Journal of Democracy</w:t>
      </w:r>
      <w:r w:rsidRPr="00ED6016">
        <w:rPr>
          <w:rFonts w:cs="Times New Roman"/>
          <w:noProof/>
          <w:szCs w:val="24"/>
        </w:rPr>
        <w:t xml:space="preserve">. </w:t>
      </w:r>
      <w:r w:rsidRPr="00ED6016">
        <w:rPr>
          <w:rFonts w:cs="Times New Roman"/>
          <w:noProof/>
          <w:szCs w:val="24"/>
        </w:rPr>
        <w:t>https://doi.org/10.1353/jod.2015.0009</w:t>
      </w:r>
    </w:p>
    <w:p w14:paraId="60091BCC" w14:textId="77777777" w:rsidR="00ED6016" w:rsidRPr="00ED6016" w:rsidRDefault="000F79F2" w:rsidP="00ED6016">
      <w:pPr>
        <w:widowControl w:val="0"/>
        <w:autoSpaceDE w:val="0"/>
        <w:autoSpaceDN w:val="0"/>
        <w:adjustRightInd w:val="0"/>
        <w:spacing w:line="480" w:lineRule="auto"/>
        <w:ind w:left="480" w:hanging="480"/>
        <w:rPr>
          <w:rFonts w:cs="Times New Roman"/>
          <w:noProof/>
          <w:szCs w:val="24"/>
        </w:rPr>
      </w:pPr>
      <w:r w:rsidRPr="00ED6016">
        <w:rPr>
          <w:rFonts w:cs="Times New Roman"/>
          <w:noProof/>
          <w:szCs w:val="24"/>
        </w:rPr>
        <w:t xml:space="preserve">Eaton, J., Kortum, S., Neiman, B., &amp; Romalis, J. (2016). Trade and the global recession. </w:t>
      </w:r>
      <w:r w:rsidRPr="00ED6016">
        <w:rPr>
          <w:rFonts w:cs="Times New Roman"/>
          <w:i/>
          <w:iCs/>
          <w:noProof/>
          <w:szCs w:val="24"/>
        </w:rPr>
        <w:t>American Economic Review</w:t>
      </w:r>
      <w:r w:rsidRPr="00ED6016">
        <w:rPr>
          <w:rFonts w:cs="Times New Roman"/>
          <w:noProof/>
          <w:szCs w:val="24"/>
        </w:rPr>
        <w:t>. https://doi.org/10.1257/aer.20101557</w:t>
      </w:r>
    </w:p>
    <w:p w14:paraId="587C50C0" w14:textId="77777777" w:rsidR="00ED6016" w:rsidRPr="00ED6016" w:rsidRDefault="000F79F2" w:rsidP="00ED6016">
      <w:pPr>
        <w:widowControl w:val="0"/>
        <w:autoSpaceDE w:val="0"/>
        <w:autoSpaceDN w:val="0"/>
        <w:adjustRightInd w:val="0"/>
        <w:spacing w:line="480" w:lineRule="auto"/>
        <w:ind w:left="480" w:hanging="480"/>
        <w:rPr>
          <w:rFonts w:cs="Times New Roman"/>
          <w:noProof/>
          <w:szCs w:val="24"/>
        </w:rPr>
      </w:pPr>
      <w:r w:rsidRPr="00ED6016">
        <w:rPr>
          <w:rFonts w:cs="Times New Roman"/>
          <w:noProof/>
          <w:szCs w:val="24"/>
        </w:rPr>
        <w:t>Giuliano, P., &amp; Spilimbergo, A. (2013). Growing up in a recession.</w:t>
      </w:r>
      <w:r w:rsidRPr="00ED6016">
        <w:rPr>
          <w:rFonts w:cs="Times New Roman"/>
          <w:noProof/>
          <w:szCs w:val="24"/>
        </w:rPr>
        <w:t xml:space="preserve"> </w:t>
      </w:r>
      <w:r w:rsidRPr="00ED6016">
        <w:rPr>
          <w:rFonts w:cs="Times New Roman"/>
          <w:i/>
          <w:iCs/>
          <w:noProof/>
          <w:szCs w:val="24"/>
        </w:rPr>
        <w:t>Review of Economic Studies</w:t>
      </w:r>
      <w:r w:rsidRPr="00ED6016">
        <w:rPr>
          <w:rFonts w:cs="Times New Roman"/>
          <w:noProof/>
          <w:szCs w:val="24"/>
        </w:rPr>
        <w:t>. https://doi.org/10.1093/restud/rdt040</w:t>
      </w:r>
    </w:p>
    <w:p w14:paraId="3432C851" w14:textId="77777777" w:rsidR="00ED6016" w:rsidRPr="00ED6016" w:rsidRDefault="000F79F2" w:rsidP="00ED6016">
      <w:pPr>
        <w:widowControl w:val="0"/>
        <w:autoSpaceDE w:val="0"/>
        <w:autoSpaceDN w:val="0"/>
        <w:adjustRightInd w:val="0"/>
        <w:spacing w:line="480" w:lineRule="auto"/>
        <w:ind w:left="480" w:hanging="480"/>
        <w:rPr>
          <w:rFonts w:cs="Times New Roman"/>
          <w:noProof/>
          <w:szCs w:val="24"/>
        </w:rPr>
      </w:pPr>
      <w:r w:rsidRPr="00ED6016">
        <w:rPr>
          <w:rFonts w:cs="Times New Roman"/>
          <w:noProof/>
          <w:szCs w:val="24"/>
        </w:rPr>
        <w:t xml:space="preserve">Kim, N. (2014). Employee turnover intention among newcomers in the travel industry. </w:t>
      </w:r>
      <w:r w:rsidRPr="00ED6016">
        <w:rPr>
          <w:rFonts w:cs="Times New Roman"/>
          <w:i/>
          <w:iCs/>
          <w:noProof/>
          <w:szCs w:val="24"/>
        </w:rPr>
        <w:t>International Journal of Tourism Research</w:t>
      </w:r>
      <w:r w:rsidRPr="00ED6016">
        <w:rPr>
          <w:rFonts w:cs="Times New Roman"/>
          <w:noProof/>
          <w:szCs w:val="24"/>
        </w:rPr>
        <w:t>. https://doi.org/10.1002/jtr.1898</w:t>
      </w:r>
    </w:p>
    <w:p w14:paraId="1B3B9ADA" w14:textId="77777777" w:rsidR="00ED6016" w:rsidRPr="00ED6016" w:rsidRDefault="000F79F2" w:rsidP="00ED6016">
      <w:pPr>
        <w:widowControl w:val="0"/>
        <w:autoSpaceDE w:val="0"/>
        <w:autoSpaceDN w:val="0"/>
        <w:adjustRightInd w:val="0"/>
        <w:spacing w:line="480" w:lineRule="auto"/>
        <w:ind w:left="480" w:hanging="480"/>
        <w:rPr>
          <w:rFonts w:cs="Times New Roman"/>
          <w:noProof/>
          <w:szCs w:val="24"/>
        </w:rPr>
      </w:pPr>
      <w:r w:rsidRPr="00ED6016">
        <w:rPr>
          <w:rFonts w:cs="Times New Roman"/>
          <w:noProof/>
          <w:szCs w:val="24"/>
        </w:rPr>
        <w:t xml:space="preserve">Margalit, Y. (2013). Explaining social policy preferences: Evidence from the great recession. </w:t>
      </w:r>
      <w:r w:rsidRPr="00ED6016">
        <w:rPr>
          <w:rFonts w:cs="Times New Roman"/>
          <w:i/>
          <w:iCs/>
          <w:noProof/>
          <w:szCs w:val="24"/>
        </w:rPr>
        <w:t>American Political Science Review</w:t>
      </w:r>
      <w:r w:rsidRPr="00ED6016">
        <w:rPr>
          <w:rFonts w:cs="Times New Roman"/>
          <w:noProof/>
          <w:szCs w:val="24"/>
        </w:rPr>
        <w:t>. https://doi.org/10.1017/S0003055412000603</w:t>
      </w:r>
    </w:p>
    <w:p w14:paraId="58B0655A" w14:textId="77777777" w:rsidR="00ED6016" w:rsidRPr="00ED6016" w:rsidRDefault="000F79F2" w:rsidP="00ED6016">
      <w:pPr>
        <w:widowControl w:val="0"/>
        <w:autoSpaceDE w:val="0"/>
        <w:autoSpaceDN w:val="0"/>
        <w:adjustRightInd w:val="0"/>
        <w:spacing w:line="480" w:lineRule="auto"/>
        <w:ind w:left="480" w:hanging="480"/>
        <w:rPr>
          <w:rFonts w:cs="Times New Roman"/>
          <w:noProof/>
          <w:szCs w:val="24"/>
        </w:rPr>
      </w:pPr>
      <w:r w:rsidRPr="00ED6016">
        <w:rPr>
          <w:rFonts w:cs="Times New Roman"/>
          <w:noProof/>
          <w:szCs w:val="24"/>
        </w:rPr>
        <w:t xml:space="preserve">Pissarides, C. A. (2013). Unemployment in the Great Recession. </w:t>
      </w:r>
      <w:r w:rsidRPr="00ED6016">
        <w:rPr>
          <w:rFonts w:cs="Times New Roman"/>
          <w:i/>
          <w:iCs/>
          <w:noProof/>
          <w:szCs w:val="24"/>
        </w:rPr>
        <w:t>Economica</w:t>
      </w:r>
      <w:r w:rsidRPr="00ED6016">
        <w:rPr>
          <w:rFonts w:cs="Times New Roman"/>
          <w:noProof/>
          <w:szCs w:val="24"/>
        </w:rPr>
        <w:t>. https://doi</w:t>
      </w:r>
      <w:r w:rsidRPr="00ED6016">
        <w:rPr>
          <w:rFonts w:cs="Times New Roman"/>
          <w:noProof/>
          <w:szCs w:val="24"/>
        </w:rPr>
        <w:t>.org/10.1111/ecca.12026</w:t>
      </w:r>
    </w:p>
    <w:p w14:paraId="022D0477" w14:textId="77777777" w:rsidR="00ED6016" w:rsidRPr="00ED6016" w:rsidRDefault="000F79F2" w:rsidP="00ED6016">
      <w:pPr>
        <w:widowControl w:val="0"/>
        <w:autoSpaceDE w:val="0"/>
        <w:autoSpaceDN w:val="0"/>
        <w:adjustRightInd w:val="0"/>
        <w:spacing w:line="480" w:lineRule="auto"/>
        <w:ind w:left="480" w:hanging="480"/>
        <w:rPr>
          <w:rFonts w:cs="Times New Roman"/>
          <w:noProof/>
          <w:szCs w:val="24"/>
        </w:rPr>
      </w:pPr>
      <w:r w:rsidRPr="00ED6016">
        <w:rPr>
          <w:rFonts w:cs="Times New Roman"/>
          <w:noProof/>
          <w:szCs w:val="24"/>
        </w:rPr>
        <w:t xml:space="preserve">Tatem, A. J., Gething, P. W., Smith, D. L., &amp; Hay, S. I. (2013). Urbanization and the global malaria recession. </w:t>
      </w:r>
      <w:r w:rsidRPr="00ED6016">
        <w:rPr>
          <w:rFonts w:cs="Times New Roman"/>
          <w:i/>
          <w:iCs/>
          <w:noProof/>
          <w:szCs w:val="24"/>
        </w:rPr>
        <w:t>Malaria Journal</w:t>
      </w:r>
      <w:r w:rsidRPr="00ED6016">
        <w:rPr>
          <w:rFonts w:cs="Times New Roman"/>
          <w:noProof/>
          <w:szCs w:val="24"/>
        </w:rPr>
        <w:t>. https://doi.org/10.1186/1475-2875-12-133</w:t>
      </w:r>
    </w:p>
    <w:p w14:paraId="141109BF" w14:textId="77777777" w:rsidR="00ED6016" w:rsidRPr="00ED6016" w:rsidRDefault="000F79F2" w:rsidP="00ED6016">
      <w:pPr>
        <w:widowControl w:val="0"/>
        <w:autoSpaceDE w:val="0"/>
        <w:autoSpaceDN w:val="0"/>
        <w:adjustRightInd w:val="0"/>
        <w:spacing w:line="480" w:lineRule="auto"/>
        <w:ind w:left="480" w:hanging="480"/>
        <w:rPr>
          <w:rFonts w:cs="Times New Roman"/>
          <w:noProof/>
        </w:rPr>
      </w:pPr>
      <w:r w:rsidRPr="00ED6016">
        <w:rPr>
          <w:rFonts w:cs="Times New Roman"/>
          <w:noProof/>
          <w:szCs w:val="24"/>
        </w:rPr>
        <w:t>Thomas, B. F., Vogel, R. M., &amp; Famiglietti, J. S. (2015). Obje</w:t>
      </w:r>
      <w:r w:rsidRPr="00ED6016">
        <w:rPr>
          <w:rFonts w:cs="Times New Roman"/>
          <w:noProof/>
          <w:szCs w:val="24"/>
        </w:rPr>
        <w:t xml:space="preserve">ctive hydrograph baseflow recession analysis. </w:t>
      </w:r>
      <w:r w:rsidRPr="00ED6016">
        <w:rPr>
          <w:rFonts w:cs="Times New Roman"/>
          <w:i/>
          <w:iCs/>
          <w:noProof/>
          <w:szCs w:val="24"/>
        </w:rPr>
        <w:t>Journal of Hydrology</w:t>
      </w:r>
      <w:r w:rsidRPr="00ED6016">
        <w:rPr>
          <w:rFonts w:cs="Times New Roman"/>
          <w:noProof/>
          <w:szCs w:val="24"/>
        </w:rPr>
        <w:t>. https://doi.org/10.1016/j.jhydrol.2015.03.028</w:t>
      </w:r>
    </w:p>
    <w:p w14:paraId="62B5E792" w14:textId="29A3A7F8" w:rsidR="00ED6016" w:rsidRDefault="000F79F2" w:rsidP="00924F39">
      <w:pPr>
        <w:spacing w:line="480" w:lineRule="auto"/>
        <w:ind w:firstLine="720"/>
        <w:jc w:val="both"/>
      </w:pPr>
      <w:r>
        <w:fldChar w:fldCharType="end"/>
      </w:r>
    </w:p>
    <w:p w14:paraId="3E5909A7" w14:textId="77777777" w:rsidR="00ED6016" w:rsidRPr="00EB1655" w:rsidRDefault="00ED6016" w:rsidP="00924F39">
      <w:pPr>
        <w:spacing w:line="480" w:lineRule="auto"/>
        <w:ind w:firstLine="720"/>
        <w:jc w:val="both"/>
      </w:pPr>
    </w:p>
    <w:p w14:paraId="106F30C0" w14:textId="77777777" w:rsidR="00EB1655" w:rsidRPr="00723AC7" w:rsidRDefault="00EB1655"/>
    <w:sectPr w:rsidR="00EB1655" w:rsidRPr="00723AC7" w:rsidSect="00924F3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79368C" w14:textId="77777777" w:rsidR="000F79F2" w:rsidRDefault="000F79F2">
      <w:pPr>
        <w:spacing w:after="0" w:line="240" w:lineRule="auto"/>
      </w:pPr>
      <w:r>
        <w:separator/>
      </w:r>
    </w:p>
  </w:endnote>
  <w:endnote w:type="continuationSeparator" w:id="0">
    <w:p w14:paraId="60B3FD0D" w14:textId="77777777" w:rsidR="000F79F2" w:rsidRDefault="000F7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B9DF7B" w14:textId="77777777" w:rsidR="000F79F2" w:rsidRDefault="000F79F2">
      <w:pPr>
        <w:spacing w:after="0" w:line="240" w:lineRule="auto"/>
      </w:pPr>
      <w:r>
        <w:separator/>
      </w:r>
    </w:p>
  </w:footnote>
  <w:footnote w:type="continuationSeparator" w:id="0">
    <w:p w14:paraId="54D3129E" w14:textId="77777777" w:rsidR="000F79F2" w:rsidRDefault="000F79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E8A48" w14:textId="18BE48A6" w:rsidR="00924F39" w:rsidRDefault="000F79F2">
    <w:pPr>
      <w:pStyle w:val="Header"/>
      <w:jc w:val="right"/>
    </w:pPr>
    <w:r w:rsidRPr="00924F39">
      <w:t xml:space="preserve">RECESSION </w:t>
    </w:r>
    <w:r>
      <w:t xml:space="preserve">                                                                                                                  </w:t>
    </w:r>
    <w:r>
      <w:t xml:space="preserve">          </w:t>
    </w:r>
    <w:sdt>
      <w:sdtPr>
        <w:id w:val="8681824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6870958" w14:textId="77777777" w:rsidR="00924F39" w:rsidRDefault="00924F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FE49A" w14:textId="4674016E" w:rsidR="00924F39" w:rsidRDefault="000F79F2">
    <w:pPr>
      <w:pStyle w:val="Header"/>
      <w:jc w:val="right"/>
    </w:pPr>
    <w:r>
      <w:t xml:space="preserve">Running head: RECESSION                                                                                                   </w:t>
    </w:r>
    <w:sdt>
      <w:sdtPr>
        <w:id w:val="5354676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04C26D8" w14:textId="77777777" w:rsidR="00924F39" w:rsidRDefault="00924F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0tbAEQiMjMwsLAyUdpeDU4uLM/DyQAqNaAAYLBi8sAAAA"/>
  </w:docVars>
  <w:rsids>
    <w:rsidRoot w:val="00723AC7"/>
    <w:rsid w:val="000F79F2"/>
    <w:rsid w:val="00413BC9"/>
    <w:rsid w:val="00452B07"/>
    <w:rsid w:val="004E2AE5"/>
    <w:rsid w:val="00515DCC"/>
    <w:rsid w:val="005D2812"/>
    <w:rsid w:val="00723AC7"/>
    <w:rsid w:val="0077121F"/>
    <w:rsid w:val="008F52A3"/>
    <w:rsid w:val="00924F39"/>
    <w:rsid w:val="00BF1E4D"/>
    <w:rsid w:val="00DE632B"/>
    <w:rsid w:val="00E70900"/>
    <w:rsid w:val="00EB1655"/>
    <w:rsid w:val="00ED6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9F54C"/>
  <w15:chartTrackingRefBased/>
  <w15:docId w15:val="{FD016F5D-6584-4A77-9615-E67BF60F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F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4F39"/>
  </w:style>
  <w:style w:type="paragraph" w:styleId="Footer">
    <w:name w:val="footer"/>
    <w:basedOn w:val="Normal"/>
    <w:link w:val="FooterChar"/>
    <w:uiPriority w:val="99"/>
    <w:unhideWhenUsed/>
    <w:rsid w:val="00924F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4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B29FC-63AB-4F8C-BE03-9D132AB50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5552</Words>
  <Characters>31653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2019-01-28T14:46:00Z</dcterms:created>
  <dcterms:modified xsi:type="dcterms:W3CDTF">2019-01-28T14:46:00Z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