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Pr="00FC7222" w:rsidRDefault="00876AEA" w:rsidP="00FC72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Religion a</w:t>
      </w:r>
      <w:r w:rsidRPr="00FC7222">
        <w:rPr>
          <w:rFonts w:ascii="Times New Roman" w:hAnsi="Times New Roman" w:cs="Times New Roman"/>
          <w:sz w:val="24"/>
          <w:szCs w:val="24"/>
        </w:rPr>
        <w:t>nd Theory</w:t>
      </w:r>
    </w:p>
    <w:p w:rsidR="00FC7222" w:rsidRPr="00FC7222" w:rsidRDefault="00FC7222" w:rsidP="00FC7222">
      <w:pPr>
        <w:spacing w:after="0" w:line="480" w:lineRule="auto"/>
        <w:jc w:val="center"/>
        <w:rPr>
          <w:rFonts w:ascii="Times New Roman" w:hAnsi="Times New Roman" w:cs="Times New Roman"/>
          <w:sz w:val="24"/>
          <w:szCs w:val="24"/>
        </w:rPr>
      </w:pPr>
      <w:r w:rsidRPr="00FC7222">
        <w:rPr>
          <w:rFonts w:ascii="Times New Roman" w:hAnsi="Times New Roman" w:cs="Times New Roman"/>
          <w:sz w:val="24"/>
          <w:szCs w:val="24"/>
        </w:rPr>
        <w:t>Student’s Name</w:t>
      </w:r>
    </w:p>
    <w:p w:rsidR="00FC7222" w:rsidRDefault="00FC7222" w:rsidP="00FC7222">
      <w:pPr>
        <w:spacing w:after="0" w:line="480" w:lineRule="auto"/>
        <w:jc w:val="center"/>
        <w:rPr>
          <w:rFonts w:ascii="Times New Roman" w:hAnsi="Times New Roman" w:cs="Times New Roman"/>
          <w:sz w:val="24"/>
          <w:szCs w:val="24"/>
        </w:rPr>
      </w:pPr>
      <w:r w:rsidRPr="00FC7222">
        <w:rPr>
          <w:rFonts w:ascii="Times New Roman" w:hAnsi="Times New Roman" w:cs="Times New Roman"/>
          <w:sz w:val="24"/>
          <w:szCs w:val="24"/>
        </w:rPr>
        <w:t>Institution</w:t>
      </w: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Default="00FC7222" w:rsidP="00FC7222">
      <w:pPr>
        <w:spacing w:after="0" w:line="480" w:lineRule="auto"/>
        <w:jc w:val="center"/>
        <w:rPr>
          <w:rFonts w:ascii="Times New Roman" w:hAnsi="Times New Roman" w:cs="Times New Roman"/>
          <w:sz w:val="24"/>
          <w:szCs w:val="24"/>
        </w:rPr>
      </w:pPr>
    </w:p>
    <w:p w:rsidR="00FC7222" w:rsidRPr="00FC7222" w:rsidRDefault="00FC7222" w:rsidP="00FC7222">
      <w:pPr>
        <w:spacing w:after="0" w:line="480" w:lineRule="auto"/>
        <w:jc w:val="center"/>
        <w:rPr>
          <w:rFonts w:ascii="Times New Roman" w:hAnsi="Times New Roman" w:cs="Times New Roman"/>
          <w:b/>
          <w:sz w:val="24"/>
          <w:szCs w:val="24"/>
        </w:rPr>
      </w:pPr>
      <w:r w:rsidRPr="00FC7222">
        <w:rPr>
          <w:b/>
        </w:rPr>
        <w:lastRenderedPageBreak/>
        <w:t>Religion and Theory</w:t>
      </w:r>
    </w:p>
    <w:p w:rsidR="00FC7222" w:rsidRPr="00FC7222" w:rsidRDefault="00FC7222" w:rsidP="00FC7222">
      <w:pPr>
        <w:spacing w:after="0" w:line="480" w:lineRule="auto"/>
        <w:ind w:firstLine="720"/>
        <w:rPr>
          <w:rFonts w:ascii="Times New Roman" w:hAnsi="Times New Roman" w:cs="Times New Roman"/>
          <w:sz w:val="24"/>
          <w:szCs w:val="24"/>
        </w:rPr>
      </w:pPr>
      <w:r w:rsidRPr="00FC7222">
        <w:rPr>
          <w:rFonts w:ascii="Times New Roman" w:hAnsi="Times New Roman" w:cs="Times New Roman"/>
          <w:sz w:val="24"/>
          <w:szCs w:val="24"/>
        </w:rPr>
        <w:t xml:space="preserve">Most people try to think that witchcraft activity or a thing of the past. Witchcraft is still present in the current world. As crazy as it might sound witch hunt are still available in the community, but witches disguise themselves not to be discovered. However current witchcraft activity may not be harassed as they were attacked during the Salem time. It's because current witch-hunts are based on physical evidence rather than the suspensions. Most people try to relate witchcrafts activities as satanic or evil. However, they are both good and bad witches in the community. A good witch helps the community by healing through incantations or portion. Where on the other had an evil which is associated with the death and calamities in the society, for instance, walpunga is associated as an evil witch charged with the death of almost forty newborns, geese, horses’ cows, and pigs. Walpunga was a poor old woman and during this women were viewed as inferior and second to women. Thus, the existence of a single successful woman would threaten the men; in addition, the poor in the community were figured as the disturbance. Therefore, the rich in the community would mostly use them as a scapegoat for their shortcoming. </w:t>
      </w:r>
    </w:p>
    <w:p w:rsidR="00FC7222" w:rsidRPr="00FC7222" w:rsidRDefault="00FC7222" w:rsidP="00876AEA">
      <w:pPr>
        <w:spacing w:after="0" w:line="480" w:lineRule="auto"/>
        <w:ind w:firstLine="720"/>
        <w:rPr>
          <w:rFonts w:ascii="Times New Roman" w:hAnsi="Times New Roman" w:cs="Times New Roman"/>
          <w:sz w:val="24"/>
          <w:szCs w:val="24"/>
        </w:rPr>
      </w:pPr>
      <w:r w:rsidRPr="00FC7222">
        <w:rPr>
          <w:rFonts w:ascii="Times New Roman" w:hAnsi="Times New Roman" w:cs="Times New Roman"/>
          <w:sz w:val="24"/>
          <w:szCs w:val="24"/>
        </w:rPr>
        <w:t xml:space="preserve">Following Walpunga case one can relate her accusation from her financial shortcoming, her old </w:t>
      </w:r>
      <w:r w:rsidR="006200B6" w:rsidRPr="00FC7222">
        <w:rPr>
          <w:rFonts w:ascii="Times New Roman" w:hAnsi="Times New Roman" w:cs="Times New Roman"/>
          <w:sz w:val="24"/>
          <w:szCs w:val="24"/>
        </w:rPr>
        <w:t>age,</w:t>
      </w:r>
      <w:r w:rsidRPr="00FC7222">
        <w:rPr>
          <w:rFonts w:ascii="Times New Roman" w:hAnsi="Times New Roman" w:cs="Times New Roman"/>
          <w:sz w:val="24"/>
          <w:szCs w:val="24"/>
        </w:rPr>
        <w:t xml:space="preserve"> and the fact that she was single. Thus she was most vulnerable to the allegation as he did not have a man to protect her (Young and Killick 2017</w:t>
      </w:r>
      <w:r w:rsidR="006200B6">
        <w:rPr>
          <w:rFonts w:ascii="Times New Roman" w:hAnsi="Times New Roman" w:cs="Times New Roman"/>
          <w:sz w:val="24"/>
          <w:szCs w:val="24"/>
        </w:rPr>
        <w:t xml:space="preserve"> p.11</w:t>
      </w:r>
      <w:bookmarkStart w:id="0" w:name="_GoBack"/>
      <w:bookmarkEnd w:id="0"/>
      <w:r w:rsidRPr="00FC7222">
        <w:rPr>
          <w:rFonts w:ascii="Times New Roman" w:hAnsi="Times New Roman" w:cs="Times New Roman"/>
          <w:sz w:val="24"/>
          <w:szCs w:val="24"/>
        </w:rPr>
        <w:t>). Also, the community would question her behavior as she was a window. Thus, while pressured by the jury she a</w:t>
      </w:r>
      <w:r w:rsidR="006200B6">
        <w:rPr>
          <w:rFonts w:ascii="Times New Roman" w:hAnsi="Times New Roman" w:cs="Times New Roman"/>
          <w:sz w:val="24"/>
          <w:szCs w:val="24"/>
        </w:rPr>
        <w:t>dmitted for having a fair with S</w:t>
      </w:r>
      <w:r w:rsidRPr="00FC7222">
        <w:rPr>
          <w:rFonts w:ascii="Times New Roman" w:hAnsi="Times New Roman" w:cs="Times New Roman"/>
          <w:sz w:val="24"/>
          <w:szCs w:val="24"/>
        </w:rPr>
        <w:t xml:space="preserve">atan providing her with financial support and power, but if this was true one would not stop but wonder where she took her wealth as while being accused she was still a poor old woman. Therefore, one can say that Walpunga felt guilty for sexual desire to fornicate with Satan but did not have the chance. Sexual guilty can led to the manifestation of other guilty </w:t>
      </w:r>
      <w:r w:rsidRPr="00FC7222">
        <w:rPr>
          <w:rFonts w:ascii="Times New Roman" w:hAnsi="Times New Roman" w:cs="Times New Roman"/>
          <w:sz w:val="24"/>
          <w:szCs w:val="24"/>
        </w:rPr>
        <w:lastRenderedPageBreak/>
        <w:t xml:space="preserve">feeling resulting in Walpurga confession. Walpunga was a healer and midwife, but her community was willing to overlook her good deeds to use her as a scapegoat. </w:t>
      </w:r>
    </w:p>
    <w:p w:rsidR="00FC7222" w:rsidRPr="00FC7222" w:rsidRDefault="00FC7222" w:rsidP="00876AEA">
      <w:pPr>
        <w:spacing w:after="0" w:line="480" w:lineRule="auto"/>
        <w:ind w:firstLine="720"/>
        <w:rPr>
          <w:rFonts w:ascii="Times New Roman" w:hAnsi="Times New Roman" w:cs="Times New Roman"/>
          <w:sz w:val="24"/>
          <w:szCs w:val="24"/>
        </w:rPr>
      </w:pPr>
      <w:r w:rsidRPr="00FC7222">
        <w:rPr>
          <w:rFonts w:ascii="Times New Roman" w:hAnsi="Times New Roman" w:cs="Times New Roman"/>
          <w:sz w:val="24"/>
          <w:szCs w:val="24"/>
        </w:rPr>
        <w:t>Although, women were convicted with witchcraft men were also convicted as well for instance in countries such as Finland, Russia, and Estonia men were accused of witchcraft. However, witchcraft was not the initial offense they had committed men would be prosecuted for theft, rape, highway robbery, incest and fornication with witchcraft added to the list while on the other hand women were being prosecuted with witchcraft as there initial crime. This portrays a high level of legal discrimination among men and women in relation to witchcraft accusation. Another example is between a priest and his mistress (Larner, 1984</w:t>
      </w:r>
      <w:r w:rsidR="006200B6">
        <w:rPr>
          <w:rFonts w:ascii="Times New Roman" w:hAnsi="Times New Roman" w:cs="Times New Roman"/>
          <w:sz w:val="24"/>
          <w:szCs w:val="24"/>
        </w:rPr>
        <w:t xml:space="preserve"> p. 25</w:t>
      </w:r>
      <w:r w:rsidRPr="00FC7222">
        <w:rPr>
          <w:rFonts w:ascii="Times New Roman" w:hAnsi="Times New Roman" w:cs="Times New Roman"/>
          <w:sz w:val="24"/>
          <w:szCs w:val="24"/>
        </w:rPr>
        <w:t xml:space="preserve">). The priest used his financial influence and bearing in mind that he is a man he was allowed to walk free while his mistress was burned to death. Though, numbers are important to keep track of the death sentence of witches it had to compel it as in most cases some of the witches would take their lie while behind bars while those cases that were recorded are either destroyed or lost. Most of the convicted individuals are convicted women, especially poor old women. Their witch was preserved to cast a huge shadow. During those eras, most people would think an old woman was wearing black, with a cone-shaped hat, with a flying broom and mole on her face as a witch. </w:t>
      </w:r>
    </w:p>
    <w:p w:rsidR="00FC7222" w:rsidRPr="00FC7222" w:rsidRDefault="00FC7222" w:rsidP="00FC7222">
      <w:pPr>
        <w:spacing w:after="0" w:line="480" w:lineRule="auto"/>
        <w:rPr>
          <w:rFonts w:ascii="Times New Roman" w:hAnsi="Times New Roman" w:cs="Times New Roman"/>
          <w:sz w:val="24"/>
          <w:szCs w:val="24"/>
        </w:rPr>
      </w:pPr>
      <w:r w:rsidRPr="00FC7222">
        <w:rPr>
          <w:rFonts w:ascii="Times New Roman" w:hAnsi="Times New Roman" w:cs="Times New Roman"/>
          <w:sz w:val="24"/>
          <w:szCs w:val="24"/>
        </w:rPr>
        <w:t xml:space="preserve">In conclusion it clear that during this period women are regarded as inferior in the community while men as the superiors and protectors in the community. Thus most of the single, poor women were accused of witchcraft as they had no men by their side to protect them. However, I tend to disagree as both men and women are equal. Thus, gender should not be a sign of superiority in the community. Therefore, both men and women should be presented with equal change without legal discrimination on men. Besides, I think that most of the women prosecuted </w:t>
      </w:r>
      <w:r w:rsidRPr="00FC7222">
        <w:rPr>
          <w:rFonts w:ascii="Times New Roman" w:hAnsi="Times New Roman" w:cs="Times New Roman"/>
          <w:sz w:val="24"/>
          <w:szCs w:val="24"/>
        </w:rPr>
        <w:lastRenderedPageBreak/>
        <w:t xml:space="preserve">for witchcraft were innocent; they were forced to give information through torturing. Thus, some would provide false information to seize their torture. </w:t>
      </w: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876AEA" w:rsidRDefault="00876AEA" w:rsidP="00FC7222">
      <w:pPr>
        <w:spacing w:after="0" w:line="480" w:lineRule="auto"/>
        <w:rPr>
          <w:rFonts w:ascii="Times New Roman" w:hAnsi="Times New Roman" w:cs="Times New Roman"/>
          <w:sz w:val="24"/>
          <w:szCs w:val="24"/>
        </w:rPr>
      </w:pPr>
    </w:p>
    <w:p w:rsidR="00FC7222" w:rsidRPr="00FC7222" w:rsidRDefault="00FC7222" w:rsidP="00876AEA">
      <w:pPr>
        <w:spacing w:after="0" w:line="480" w:lineRule="auto"/>
        <w:jc w:val="center"/>
        <w:rPr>
          <w:rFonts w:ascii="Times New Roman" w:hAnsi="Times New Roman" w:cs="Times New Roman"/>
          <w:sz w:val="24"/>
          <w:szCs w:val="24"/>
        </w:rPr>
      </w:pPr>
      <w:r w:rsidRPr="00FC7222">
        <w:rPr>
          <w:rFonts w:ascii="Times New Roman" w:hAnsi="Times New Roman" w:cs="Times New Roman"/>
          <w:sz w:val="24"/>
          <w:szCs w:val="24"/>
        </w:rPr>
        <w:lastRenderedPageBreak/>
        <w:t>References</w:t>
      </w:r>
    </w:p>
    <w:p w:rsidR="00FC7222" w:rsidRPr="00FC7222" w:rsidRDefault="00FC7222" w:rsidP="00876AEA">
      <w:pPr>
        <w:spacing w:after="0" w:line="480" w:lineRule="auto"/>
        <w:ind w:left="720" w:hanging="720"/>
        <w:rPr>
          <w:rFonts w:ascii="Times New Roman" w:hAnsi="Times New Roman" w:cs="Times New Roman"/>
          <w:sz w:val="24"/>
          <w:szCs w:val="24"/>
        </w:rPr>
      </w:pPr>
      <w:r w:rsidRPr="00FC7222">
        <w:rPr>
          <w:rFonts w:ascii="Times New Roman" w:hAnsi="Times New Roman" w:cs="Times New Roman"/>
          <w:sz w:val="24"/>
          <w:szCs w:val="24"/>
        </w:rPr>
        <w:t>Larner, C. (1984). Witchcraft and religion: the politics of popular belief. Basil Blackwell.</w:t>
      </w:r>
    </w:p>
    <w:p w:rsidR="005574AA" w:rsidRPr="00FC7222" w:rsidRDefault="00FC7222" w:rsidP="00876AEA">
      <w:pPr>
        <w:spacing w:after="0" w:line="480" w:lineRule="auto"/>
        <w:ind w:left="720" w:hanging="720"/>
        <w:rPr>
          <w:rFonts w:ascii="Times New Roman" w:hAnsi="Times New Roman" w:cs="Times New Roman"/>
          <w:sz w:val="24"/>
          <w:szCs w:val="24"/>
        </w:rPr>
      </w:pPr>
      <w:r w:rsidRPr="00FC7222">
        <w:rPr>
          <w:rFonts w:ascii="Times New Roman" w:hAnsi="Times New Roman" w:cs="Times New Roman"/>
          <w:sz w:val="24"/>
          <w:szCs w:val="24"/>
        </w:rPr>
        <w:t>Young, S., &amp; Killick, H. (2017). Religion and the Decline of Magic. Macat Library.</w:t>
      </w:r>
    </w:p>
    <w:sectPr w:rsidR="005574AA" w:rsidRPr="00FC7222" w:rsidSect="00FC72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AD2" w:rsidRDefault="00B07AD2" w:rsidP="00FC7222">
      <w:pPr>
        <w:spacing w:after="0" w:line="240" w:lineRule="auto"/>
      </w:pPr>
      <w:r>
        <w:separator/>
      </w:r>
    </w:p>
  </w:endnote>
  <w:endnote w:type="continuationSeparator" w:id="0">
    <w:p w:rsidR="00B07AD2" w:rsidRDefault="00B07AD2" w:rsidP="00FC7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AD2" w:rsidRDefault="00B07AD2" w:rsidP="00FC7222">
      <w:pPr>
        <w:spacing w:after="0" w:line="240" w:lineRule="auto"/>
      </w:pPr>
      <w:r>
        <w:separator/>
      </w:r>
    </w:p>
  </w:footnote>
  <w:footnote w:type="continuationSeparator" w:id="0">
    <w:p w:rsidR="00B07AD2" w:rsidRDefault="00B07AD2" w:rsidP="00FC7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22" w:rsidRPr="00FC7222" w:rsidRDefault="00FC7222">
    <w:pPr>
      <w:pStyle w:val="Header"/>
      <w:jc w:val="right"/>
      <w:rPr>
        <w:rFonts w:ascii="Times New Roman" w:hAnsi="Times New Roman" w:cs="Times New Roman"/>
        <w:sz w:val="24"/>
        <w:szCs w:val="24"/>
      </w:rPr>
    </w:pPr>
    <w:r w:rsidRPr="00FC7222">
      <w:rPr>
        <w:rFonts w:ascii="Times New Roman" w:hAnsi="Times New Roman" w:cs="Times New Roman"/>
        <w:sz w:val="24"/>
        <w:szCs w:val="24"/>
      </w:rPr>
      <w:t xml:space="preserve">RELIGION AND THEORY </w:t>
    </w:r>
    <w:sdt>
      <w:sdtPr>
        <w:rPr>
          <w:rFonts w:ascii="Times New Roman" w:hAnsi="Times New Roman" w:cs="Times New Roman"/>
          <w:sz w:val="24"/>
          <w:szCs w:val="24"/>
        </w:rPr>
        <w:id w:val="-126475944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C7222">
          <w:rPr>
            <w:rFonts w:ascii="Times New Roman" w:hAnsi="Times New Roman" w:cs="Times New Roman"/>
            <w:sz w:val="24"/>
            <w:szCs w:val="24"/>
          </w:rPr>
          <w:fldChar w:fldCharType="begin"/>
        </w:r>
        <w:r w:rsidRPr="00FC7222">
          <w:rPr>
            <w:rFonts w:ascii="Times New Roman" w:hAnsi="Times New Roman" w:cs="Times New Roman"/>
            <w:sz w:val="24"/>
            <w:szCs w:val="24"/>
          </w:rPr>
          <w:instrText xml:space="preserve"> PAGE   \* MERGEFORMAT </w:instrText>
        </w:r>
        <w:r w:rsidRPr="00FC7222">
          <w:rPr>
            <w:rFonts w:ascii="Times New Roman" w:hAnsi="Times New Roman" w:cs="Times New Roman"/>
            <w:sz w:val="24"/>
            <w:szCs w:val="24"/>
          </w:rPr>
          <w:fldChar w:fldCharType="separate"/>
        </w:r>
        <w:r w:rsidR="006200B6">
          <w:rPr>
            <w:rFonts w:ascii="Times New Roman" w:hAnsi="Times New Roman" w:cs="Times New Roman"/>
            <w:noProof/>
            <w:sz w:val="24"/>
            <w:szCs w:val="24"/>
          </w:rPr>
          <w:t>2</w:t>
        </w:r>
        <w:r w:rsidRPr="00FC7222">
          <w:rPr>
            <w:rFonts w:ascii="Times New Roman" w:hAnsi="Times New Roman" w:cs="Times New Roman"/>
            <w:noProof/>
            <w:sz w:val="24"/>
            <w:szCs w:val="24"/>
          </w:rPr>
          <w:fldChar w:fldCharType="end"/>
        </w:r>
      </w:sdtContent>
    </w:sdt>
  </w:p>
  <w:p w:rsidR="00FC7222" w:rsidRPr="00FC7222" w:rsidRDefault="00FC722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222" w:rsidRDefault="00FC7222">
    <w:pPr>
      <w:pStyle w:val="Header"/>
      <w:jc w:val="right"/>
    </w:pPr>
    <w:r>
      <w:t xml:space="preserve">Running Head: RELIGION AND THEORY                                                                                                                   </w:t>
    </w:r>
    <w:sdt>
      <w:sdtPr>
        <w:id w:val="-196629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200B6">
          <w:rPr>
            <w:noProof/>
          </w:rPr>
          <w:t>1</w:t>
        </w:r>
        <w:r>
          <w:rPr>
            <w:noProof/>
          </w:rPr>
          <w:fldChar w:fldCharType="end"/>
        </w:r>
      </w:sdtContent>
    </w:sdt>
  </w:p>
  <w:p w:rsidR="00FC7222" w:rsidRDefault="00FC72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4AA"/>
    <w:rsid w:val="001E2B7B"/>
    <w:rsid w:val="002E289D"/>
    <w:rsid w:val="005574AA"/>
    <w:rsid w:val="00567539"/>
    <w:rsid w:val="006200B6"/>
    <w:rsid w:val="00686413"/>
    <w:rsid w:val="006B4C4B"/>
    <w:rsid w:val="007E0FC3"/>
    <w:rsid w:val="00876AEA"/>
    <w:rsid w:val="00AF2443"/>
    <w:rsid w:val="00B07AD2"/>
    <w:rsid w:val="00FC7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0249E"/>
  <w15:chartTrackingRefBased/>
  <w15:docId w15:val="{E81BB8E7-CC9D-4A39-BC70-EE118FBA4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2B7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C72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222"/>
  </w:style>
  <w:style w:type="paragraph" w:styleId="Footer">
    <w:name w:val="footer"/>
    <w:basedOn w:val="Normal"/>
    <w:link w:val="FooterChar"/>
    <w:uiPriority w:val="99"/>
    <w:unhideWhenUsed/>
    <w:rsid w:val="00FC72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7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5</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2019-04-13T10:12:00Z</dcterms:created>
  <dcterms:modified xsi:type="dcterms:W3CDTF">2019-04-13T14:00:00Z</dcterms:modified>
</cp:coreProperties>
</file>