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3DFC" w:rsidRPr="003C7649" w:rsidRDefault="00623DFC" w:rsidP="002B3A10">
      <w:pPr>
        <w:spacing w:line="480" w:lineRule="auto"/>
        <w:jc w:val="center"/>
        <w:rPr>
          <w:rFonts w:ascii="Times New Roman" w:hAnsi="Times New Roman" w:cs="Times New Roman"/>
          <w:sz w:val="24"/>
          <w:szCs w:val="24"/>
        </w:rPr>
      </w:pPr>
      <w:bookmarkStart w:id="0" w:name="_GoBack"/>
      <w:bookmarkEnd w:id="0"/>
      <w:r w:rsidRPr="003C7649">
        <w:rPr>
          <w:rFonts w:ascii="Times New Roman" w:hAnsi="Times New Roman" w:cs="Times New Roman"/>
          <w:sz w:val="24"/>
          <w:szCs w:val="24"/>
        </w:rPr>
        <w:t>The second part of the report</w:t>
      </w:r>
    </w:p>
    <w:p w:rsidR="002B3A10" w:rsidRPr="003C7649" w:rsidRDefault="002B3A10" w:rsidP="002B3A10">
      <w:pPr>
        <w:spacing w:line="480" w:lineRule="auto"/>
        <w:jc w:val="center"/>
        <w:rPr>
          <w:rFonts w:ascii="Times New Roman" w:hAnsi="Times New Roman" w:cs="Times New Roman"/>
          <w:sz w:val="24"/>
          <w:szCs w:val="24"/>
        </w:rPr>
      </w:pPr>
    </w:p>
    <w:p w:rsidR="00922508" w:rsidRPr="00922508" w:rsidRDefault="00922508" w:rsidP="00922508">
      <w:pPr>
        <w:spacing w:line="480" w:lineRule="auto"/>
        <w:rPr>
          <w:rFonts w:ascii="Times New Roman" w:hAnsi="Times New Roman" w:cs="Times New Roman"/>
          <w:sz w:val="24"/>
          <w:szCs w:val="24"/>
          <w:u w:val="single"/>
        </w:rPr>
      </w:pPr>
      <w:r w:rsidRPr="00922508">
        <w:rPr>
          <w:rFonts w:ascii="Times New Roman" w:hAnsi="Times New Roman" w:cs="Times New Roman"/>
          <w:sz w:val="24"/>
          <w:szCs w:val="24"/>
          <w:u w:val="single"/>
        </w:rPr>
        <w:t xml:space="preserve">Introducing the disease  </w:t>
      </w:r>
    </w:p>
    <w:p w:rsidR="00922508" w:rsidRPr="00922508" w:rsidRDefault="00922508" w:rsidP="00922508">
      <w:pPr>
        <w:spacing w:line="480" w:lineRule="auto"/>
        <w:rPr>
          <w:rFonts w:ascii="Times New Roman" w:hAnsi="Times New Roman" w:cs="Times New Roman"/>
          <w:sz w:val="24"/>
          <w:szCs w:val="24"/>
        </w:rPr>
      </w:pPr>
      <w:r w:rsidRPr="00922508">
        <w:rPr>
          <w:rFonts w:ascii="Times New Roman" w:hAnsi="Times New Roman" w:cs="Times New Roman"/>
          <w:sz w:val="24"/>
          <w:szCs w:val="24"/>
        </w:rPr>
        <w:t xml:space="preserve"> Poliomyelitis is an infectious disease which occurs by a virus known as Poliovirus. This condition was known over thousand years ago and has been depicted over and over in ancient history literature and artwork. Poliomyelitis, which has to be more commonly referred to as polio, is an infection that more often than not, about 0.5 % of all cases, attacks the muscles fibers of the body (Paul, 1971). This attack results in the inability to move the body part occurring in a time range of a few days. The poliomyelitis </w:t>
      </w:r>
      <w:proofErr w:type="gramStart"/>
      <w:r w:rsidRPr="00922508">
        <w:rPr>
          <w:rFonts w:ascii="Times New Roman" w:hAnsi="Times New Roman" w:cs="Times New Roman"/>
          <w:sz w:val="24"/>
          <w:szCs w:val="24"/>
        </w:rPr>
        <w:t>infection, that</w:t>
      </w:r>
      <w:proofErr w:type="gramEnd"/>
      <w:r w:rsidRPr="00922508">
        <w:rPr>
          <w:rFonts w:ascii="Times New Roman" w:hAnsi="Times New Roman" w:cs="Times New Roman"/>
          <w:sz w:val="24"/>
          <w:szCs w:val="24"/>
        </w:rPr>
        <w:t xml:space="preserve"> is also referred to as infantile paralysis, leads to the mortality of about fifteen to thirty percent of adults infected and about two to five percent of the children that are diagnosed with the disease. Many people do recover, but much more are left with permanent damages in their body resulting from the conditions. While a minor percentage of the infected, about 5% usually display symptoms of the infection such as stiff neck hurting arms and legs, up to 70% infected by the disease do not show the symptoms of the virus. Poliomyelitis may take days to years for patients infected to recover fully. The post-polio syndrome may also occur years after recovery firm polio displaying muscle weakness like the one the patient initially had (Paul, 1971).</w:t>
      </w:r>
    </w:p>
    <w:p w:rsidR="00922508" w:rsidRPr="00922508" w:rsidRDefault="00922508" w:rsidP="00922508">
      <w:pPr>
        <w:spacing w:line="480" w:lineRule="auto"/>
        <w:rPr>
          <w:rFonts w:ascii="Times New Roman" w:hAnsi="Times New Roman" w:cs="Times New Roman"/>
          <w:sz w:val="24"/>
          <w:szCs w:val="24"/>
        </w:rPr>
      </w:pPr>
      <w:r w:rsidRPr="00922508">
        <w:rPr>
          <w:rFonts w:ascii="Times New Roman" w:hAnsi="Times New Roman" w:cs="Times New Roman"/>
          <w:sz w:val="24"/>
          <w:szCs w:val="24"/>
        </w:rPr>
        <w:t xml:space="preserve">Polio Myelitis has existed for thousands of years since it was first recognized as a distinct disease by Michael Underwood, a renowned English physician, in the year 1789. The virus that causes the disease was however discovered years later by Karl Landsteiner, also a famous Austrian immunologist in his time, in the year 1908. The disease was globally recognized in parts as it burst in major breaks beginning the years of 19th-century n both the United States of America and the European continent (Paul, 1971). It was recognized as a threat and the most worrying </w:t>
      </w:r>
      <w:r w:rsidRPr="00922508">
        <w:rPr>
          <w:rFonts w:ascii="Times New Roman" w:hAnsi="Times New Roman" w:cs="Times New Roman"/>
          <w:sz w:val="24"/>
          <w:szCs w:val="24"/>
        </w:rPr>
        <w:lastRenderedPageBreak/>
        <w:t>childhood disease causing a very high child mortality in the 20th century in the same areas, United States of America and the European nations. Jonas Salk, in the 1950s, came up with the first applicable immunity option for the polio vaccine. Since then it has been a collective hope that the efforts of early detection of the disease and adherence to vaccination requirements will eventually wholly eradicate the disease from the globe in later years (Paul, 1971). However, parts of the world suffered terribly and still bear the disease especially the underdeveloped nations of the world.</w:t>
      </w:r>
    </w:p>
    <w:p w:rsidR="00922508" w:rsidRPr="00922508" w:rsidRDefault="00922508" w:rsidP="00922508">
      <w:pPr>
        <w:spacing w:line="480" w:lineRule="auto"/>
        <w:rPr>
          <w:rFonts w:ascii="Times New Roman" w:hAnsi="Times New Roman" w:cs="Times New Roman"/>
          <w:sz w:val="24"/>
          <w:szCs w:val="24"/>
          <w:u w:val="single"/>
        </w:rPr>
      </w:pPr>
      <w:r w:rsidRPr="00922508">
        <w:rPr>
          <w:rFonts w:ascii="Times New Roman" w:hAnsi="Times New Roman" w:cs="Times New Roman"/>
          <w:sz w:val="24"/>
          <w:szCs w:val="24"/>
          <w:u w:val="single"/>
        </w:rPr>
        <w:t xml:space="preserve">Causing </w:t>
      </w:r>
    </w:p>
    <w:p w:rsidR="00922508" w:rsidRPr="00922508" w:rsidRDefault="00922508" w:rsidP="00922508">
      <w:pPr>
        <w:spacing w:line="480" w:lineRule="auto"/>
        <w:rPr>
          <w:rFonts w:ascii="Times New Roman" w:hAnsi="Times New Roman" w:cs="Times New Roman"/>
          <w:sz w:val="24"/>
          <w:szCs w:val="24"/>
        </w:rPr>
      </w:pPr>
      <w:r w:rsidRPr="00922508">
        <w:rPr>
          <w:rFonts w:ascii="Times New Roman" w:hAnsi="Times New Roman" w:cs="Times New Roman"/>
          <w:sz w:val="24"/>
          <w:szCs w:val="24"/>
        </w:rPr>
        <w:t xml:space="preserve">Polio-myelitis is caused by the virus poliovirus as aforementioned. This virus is a member of the genus Enterovirus that colonizes the gastrointestinal tract. The Poliovirus specifically attacks the intestines and the oropharynx (Koch &amp; Koch, 2012). It incubates in the host body for up to a maximum of thirty-five days with a more relatable span of six to twenty days of incubation before the first symptoms of polio start showing in the host body. It is known only to attack the human body and no other animal infected by the poliovirus can develop the polio symptoms of the disease. </w:t>
      </w:r>
    </w:p>
    <w:p w:rsidR="00922508" w:rsidRPr="00922508" w:rsidRDefault="00922508" w:rsidP="00922508">
      <w:pPr>
        <w:spacing w:line="480" w:lineRule="auto"/>
        <w:rPr>
          <w:rFonts w:ascii="Times New Roman" w:hAnsi="Times New Roman" w:cs="Times New Roman"/>
          <w:sz w:val="24"/>
          <w:szCs w:val="24"/>
          <w:u w:val="single"/>
        </w:rPr>
      </w:pPr>
      <w:r w:rsidRPr="00922508">
        <w:rPr>
          <w:rFonts w:ascii="Times New Roman" w:hAnsi="Times New Roman" w:cs="Times New Roman"/>
          <w:sz w:val="24"/>
          <w:szCs w:val="24"/>
          <w:u w:val="single"/>
        </w:rPr>
        <w:t xml:space="preserve">Information about the virus </w:t>
      </w:r>
    </w:p>
    <w:p w:rsidR="00922508" w:rsidRPr="00922508" w:rsidRDefault="00922508" w:rsidP="00922508">
      <w:pPr>
        <w:spacing w:line="480" w:lineRule="auto"/>
        <w:rPr>
          <w:rFonts w:ascii="Times New Roman" w:hAnsi="Times New Roman" w:cs="Times New Roman"/>
          <w:sz w:val="24"/>
          <w:szCs w:val="24"/>
        </w:rPr>
      </w:pPr>
      <w:r w:rsidRPr="00922508">
        <w:rPr>
          <w:rFonts w:ascii="Times New Roman" w:hAnsi="Times New Roman" w:cs="Times New Roman"/>
          <w:sz w:val="24"/>
          <w:szCs w:val="24"/>
        </w:rPr>
        <w:t>The structure of the poliovirus is composed of the sense RNA genome, and this genome is enclosed in the capsid, a protein shell covering the RNA genome. Additionally the poliovirus capsid, other than protecting the poliovirus in the human body environment, the capsid shell proteins gives the poliovirus ability to only infect a specific cell. The poliovirus has three identified stains including the PV1 (poliovirus type 1), PV2 (poliovirus type 2) and the PV3 (the poliovirus type 3). These strains have a slightly different composition of the capsid protein from the other two strains (</w:t>
      </w:r>
      <w:proofErr w:type="spellStart"/>
      <w:r w:rsidRPr="00922508">
        <w:rPr>
          <w:rFonts w:ascii="Times New Roman" w:hAnsi="Times New Roman" w:cs="Times New Roman"/>
          <w:sz w:val="24"/>
          <w:szCs w:val="24"/>
        </w:rPr>
        <w:t>Hovi</w:t>
      </w:r>
      <w:proofErr w:type="spellEnd"/>
      <w:r w:rsidRPr="00922508">
        <w:rPr>
          <w:rFonts w:ascii="Times New Roman" w:hAnsi="Times New Roman" w:cs="Times New Roman"/>
          <w:sz w:val="24"/>
          <w:szCs w:val="24"/>
        </w:rPr>
        <w:t xml:space="preserve">, Shulman, Van Der </w:t>
      </w:r>
      <w:proofErr w:type="spellStart"/>
      <w:r w:rsidRPr="00922508">
        <w:rPr>
          <w:rFonts w:ascii="Times New Roman" w:hAnsi="Times New Roman" w:cs="Times New Roman"/>
          <w:sz w:val="24"/>
          <w:szCs w:val="24"/>
        </w:rPr>
        <w:t>Avoort</w:t>
      </w:r>
      <w:proofErr w:type="spellEnd"/>
      <w:r w:rsidRPr="00922508">
        <w:rPr>
          <w:rFonts w:ascii="Times New Roman" w:hAnsi="Times New Roman" w:cs="Times New Roman"/>
          <w:sz w:val="24"/>
          <w:szCs w:val="24"/>
        </w:rPr>
        <w:t xml:space="preserve">, Deshpande, </w:t>
      </w:r>
      <w:proofErr w:type="spellStart"/>
      <w:r w:rsidRPr="00922508">
        <w:rPr>
          <w:rFonts w:ascii="Times New Roman" w:hAnsi="Times New Roman" w:cs="Times New Roman"/>
          <w:sz w:val="24"/>
          <w:szCs w:val="24"/>
        </w:rPr>
        <w:t>Roivainen</w:t>
      </w:r>
      <w:proofErr w:type="spellEnd"/>
      <w:r w:rsidRPr="00922508">
        <w:rPr>
          <w:rFonts w:ascii="Times New Roman" w:hAnsi="Times New Roman" w:cs="Times New Roman"/>
          <w:sz w:val="24"/>
          <w:szCs w:val="24"/>
        </w:rPr>
        <w:t xml:space="preserve">, &amp; De </w:t>
      </w:r>
      <w:proofErr w:type="spellStart"/>
      <w:r w:rsidRPr="00922508">
        <w:rPr>
          <w:rFonts w:ascii="Times New Roman" w:hAnsi="Times New Roman" w:cs="Times New Roman"/>
          <w:sz w:val="24"/>
          <w:szCs w:val="24"/>
        </w:rPr>
        <w:t>Gourville</w:t>
      </w:r>
      <w:proofErr w:type="spellEnd"/>
      <w:r w:rsidRPr="00922508">
        <w:rPr>
          <w:rFonts w:ascii="Times New Roman" w:hAnsi="Times New Roman" w:cs="Times New Roman"/>
          <w:sz w:val="24"/>
          <w:szCs w:val="24"/>
        </w:rPr>
        <w:t xml:space="preserve">, </w:t>
      </w:r>
      <w:r w:rsidRPr="00922508">
        <w:rPr>
          <w:rFonts w:ascii="Times New Roman" w:hAnsi="Times New Roman" w:cs="Times New Roman"/>
          <w:sz w:val="24"/>
          <w:szCs w:val="24"/>
        </w:rPr>
        <w:lastRenderedPageBreak/>
        <w:t>2012). They are however all extremely virulent, and their disease symptom is all similar. The body of an exposed person can develop immunity towards polio either through infection and development of natural resistance or vaccination. IgA antibodies in immune individuals are present in the gastrointestinal tract and the tonsils. The spread and replication of the poliovirus can be prevented by IgM and the IgG antibodies (Koch &amp; Koch, 2012)</w:t>
      </w:r>
    </w:p>
    <w:p w:rsidR="00922508" w:rsidRPr="00922508" w:rsidRDefault="00922508" w:rsidP="00922508">
      <w:pPr>
        <w:spacing w:line="480" w:lineRule="auto"/>
        <w:rPr>
          <w:rFonts w:ascii="Times New Roman" w:hAnsi="Times New Roman" w:cs="Times New Roman"/>
          <w:sz w:val="24"/>
          <w:szCs w:val="24"/>
          <w:u w:val="single"/>
        </w:rPr>
      </w:pPr>
      <w:r w:rsidRPr="00922508">
        <w:rPr>
          <w:rFonts w:ascii="Times New Roman" w:hAnsi="Times New Roman" w:cs="Times New Roman"/>
          <w:sz w:val="24"/>
          <w:szCs w:val="24"/>
          <w:u w:val="single"/>
        </w:rPr>
        <w:t>Mechanism</w:t>
      </w:r>
    </w:p>
    <w:p w:rsidR="00623DFC" w:rsidRPr="00922508" w:rsidRDefault="00922508" w:rsidP="00922508">
      <w:pPr>
        <w:spacing w:line="480" w:lineRule="auto"/>
        <w:rPr>
          <w:rFonts w:ascii="Times New Roman" w:hAnsi="Times New Roman" w:cs="Times New Roman"/>
          <w:sz w:val="24"/>
          <w:szCs w:val="24"/>
        </w:rPr>
      </w:pPr>
      <w:r w:rsidRPr="00922508">
        <w:rPr>
          <w:rFonts w:ascii="Times New Roman" w:hAnsi="Times New Roman" w:cs="Times New Roman"/>
          <w:sz w:val="24"/>
          <w:szCs w:val="24"/>
        </w:rPr>
        <w:t>Polio is majorly transmitted by oropharyngeal sources or the intestinal sources. Risk factors for infections include malnutrition, immune deficiency, pregnancy and physical engagement immediately after infection. The virus gets into a host body through the mouth infecting the pharynx and intestinal mucosa. It does this by attaching to an immunoglobin like receptor</w:t>
      </w:r>
      <w:proofErr w:type="gramStart"/>
      <w:r w:rsidRPr="00922508">
        <w:rPr>
          <w:rFonts w:ascii="Times New Roman" w:hAnsi="Times New Roman" w:cs="Times New Roman"/>
          <w:sz w:val="24"/>
          <w:szCs w:val="24"/>
        </w:rPr>
        <w:t>,  the</w:t>
      </w:r>
      <w:proofErr w:type="gramEnd"/>
      <w:r w:rsidRPr="00922508">
        <w:rPr>
          <w:rFonts w:ascii="Times New Roman" w:hAnsi="Times New Roman" w:cs="Times New Roman"/>
          <w:sz w:val="24"/>
          <w:szCs w:val="24"/>
        </w:rPr>
        <w:t xml:space="preserve"> CD155. It then begins to replicate in the body of the host (Koch &amp; Koch, 2012). It spreads to the follicular dendritic cells, the lymph tissues and mesenteric lymph tissues. Sustained replication then courses major viremia that develops to local inflammatory responses in the body. The mechanism of the spread of the polio virus can largely be accounted chance and not dependent on factors as age and gender of the host. </w:t>
      </w:r>
      <w:r w:rsidR="00E2337C" w:rsidRPr="00922508">
        <w:rPr>
          <w:rFonts w:ascii="Times New Roman" w:hAnsi="Times New Roman" w:cs="Times New Roman"/>
          <w:sz w:val="24"/>
          <w:szCs w:val="24"/>
        </w:rPr>
        <w:t xml:space="preserve"> </w:t>
      </w:r>
    </w:p>
    <w:p w:rsidR="00623DFC" w:rsidRPr="003C7649" w:rsidRDefault="00623DFC" w:rsidP="002B3A10">
      <w:pPr>
        <w:spacing w:line="480" w:lineRule="auto"/>
        <w:rPr>
          <w:rFonts w:ascii="Times New Roman" w:hAnsi="Times New Roman" w:cs="Times New Roman"/>
          <w:sz w:val="24"/>
          <w:szCs w:val="24"/>
          <w:u w:val="single"/>
        </w:rPr>
      </w:pPr>
      <w:r w:rsidRPr="003C7649">
        <w:rPr>
          <w:rFonts w:ascii="Times New Roman" w:hAnsi="Times New Roman" w:cs="Times New Roman"/>
          <w:noProof/>
          <w:sz w:val="24"/>
          <w:szCs w:val="24"/>
          <w:u w:val="single"/>
          <w:lang w:val="en-US"/>
        </w:rPr>
        <w:drawing>
          <wp:anchor distT="0" distB="0" distL="114300" distR="114300" simplePos="0" relativeHeight="251659264" behindDoc="0" locked="0" layoutInCell="1" allowOverlap="1" wp14:anchorId="2043B63A" wp14:editId="60B282C5">
            <wp:simplePos x="0" y="0"/>
            <wp:positionH relativeFrom="column">
              <wp:posOffset>0</wp:posOffset>
            </wp:positionH>
            <wp:positionV relativeFrom="paragraph">
              <wp:posOffset>325120</wp:posOffset>
            </wp:positionV>
            <wp:extent cx="2834640" cy="1549400"/>
            <wp:effectExtent l="0" t="0" r="0" b="0"/>
            <wp:wrapTopAndBottom/>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2834640" cy="1549400"/>
                    </a:xfrm>
                    <a:prstGeom prst="rect">
                      <a:avLst/>
                    </a:prstGeom>
                  </pic:spPr>
                </pic:pic>
              </a:graphicData>
            </a:graphic>
            <wp14:sizeRelH relativeFrom="margin">
              <wp14:pctWidth>0</wp14:pctWidth>
            </wp14:sizeRelH>
          </wp:anchor>
        </w:drawing>
      </w:r>
      <w:r w:rsidRPr="003C7649">
        <w:rPr>
          <w:rFonts w:ascii="Times New Roman" w:hAnsi="Times New Roman" w:cs="Times New Roman"/>
          <w:sz w:val="24"/>
          <w:szCs w:val="24"/>
          <w:u w:val="single"/>
        </w:rPr>
        <w:t xml:space="preserve">The replication of virus </w:t>
      </w:r>
    </w:p>
    <w:p w:rsidR="00623DFC" w:rsidRPr="003C7649" w:rsidRDefault="00623DFC" w:rsidP="002B3A10">
      <w:pPr>
        <w:spacing w:line="480" w:lineRule="auto"/>
        <w:rPr>
          <w:rFonts w:ascii="Times New Roman" w:hAnsi="Times New Roman" w:cs="Times New Roman"/>
          <w:sz w:val="24"/>
          <w:szCs w:val="24"/>
        </w:rPr>
      </w:pPr>
    </w:p>
    <w:p w:rsidR="00623DFC" w:rsidRPr="003C7649" w:rsidRDefault="00623DFC" w:rsidP="002B3A10">
      <w:pPr>
        <w:spacing w:line="480" w:lineRule="auto"/>
        <w:rPr>
          <w:rFonts w:ascii="Times New Roman" w:hAnsi="Times New Roman" w:cs="Times New Roman"/>
          <w:sz w:val="24"/>
          <w:szCs w:val="24"/>
          <w:u w:val="single"/>
        </w:rPr>
      </w:pPr>
      <w:r w:rsidRPr="003C7649">
        <w:rPr>
          <w:rFonts w:ascii="Times New Roman" w:hAnsi="Times New Roman" w:cs="Times New Roman"/>
          <w:sz w:val="24"/>
          <w:szCs w:val="24"/>
          <w:u w:val="single"/>
        </w:rPr>
        <w:t>Immunoglobulin G</w:t>
      </w:r>
      <w:r w:rsidR="00995415" w:rsidRPr="003C7649">
        <w:rPr>
          <w:rFonts w:ascii="Times New Roman" w:hAnsi="Times New Roman" w:cs="Times New Roman"/>
          <w:sz w:val="24"/>
          <w:szCs w:val="24"/>
          <w:u w:val="single"/>
        </w:rPr>
        <w:t xml:space="preserve"> </w:t>
      </w:r>
      <w:r w:rsidRPr="003C7649">
        <w:rPr>
          <w:rFonts w:ascii="Times New Roman" w:hAnsi="Times New Roman" w:cs="Times New Roman"/>
          <w:sz w:val="24"/>
          <w:szCs w:val="24"/>
          <w:u w:val="single"/>
        </w:rPr>
        <w:t xml:space="preserve">Character </w:t>
      </w:r>
    </w:p>
    <w:p w:rsidR="00922508" w:rsidRPr="00922508" w:rsidRDefault="00922508" w:rsidP="00922508">
      <w:pPr>
        <w:spacing w:line="480" w:lineRule="auto"/>
        <w:rPr>
          <w:rFonts w:ascii="Times New Roman" w:hAnsi="Times New Roman" w:cs="Times New Roman"/>
          <w:sz w:val="24"/>
          <w:szCs w:val="24"/>
        </w:rPr>
      </w:pPr>
      <w:r w:rsidRPr="00922508">
        <w:rPr>
          <w:rFonts w:ascii="Times New Roman" w:hAnsi="Times New Roman" w:cs="Times New Roman"/>
          <w:sz w:val="24"/>
          <w:szCs w:val="24"/>
        </w:rPr>
        <w:lastRenderedPageBreak/>
        <w:t>Immunoglobulin G resents about seventy-five percent of the serum antibodies. It is a type of antibody that is most commonly found in circulation in the human bodies. It is created by Plasma B cell and has two binding sites (</w:t>
      </w:r>
      <w:proofErr w:type="spellStart"/>
      <w:r w:rsidRPr="00922508">
        <w:rPr>
          <w:rFonts w:ascii="Times New Roman" w:hAnsi="Times New Roman" w:cs="Times New Roman"/>
          <w:sz w:val="24"/>
          <w:szCs w:val="24"/>
        </w:rPr>
        <w:t>Unkeless</w:t>
      </w:r>
      <w:proofErr w:type="spellEnd"/>
      <w:r w:rsidRPr="00922508">
        <w:rPr>
          <w:rFonts w:ascii="Times New Roman" w:hAnsi="Times New Roman" w:cs="Times New Roman"/>
          <w:sz w:val="24"/>
          <w:szCs w:val="24"/>
        </w:rPr>
        <w:t xml:space="preserve">, 1989). IgG is largely amassed molecules, 150 </w:t>
      </w:r>
      <w:proofErr w:type="spellStart"/>
      <w:r w:rsidRPr="00922508">
        <w:rPr>
          <w:rFonts w:ascii="Times New Roman" w:hAnsi="Times New Roman" w:cs="Times New Roman"/>
          <w:sz w:val="24"/>
          <w:szCs w:val="24"/>
        </w:rPr>
        <w:t>kDa</w:t>
      </w:r>
      <w:proofErr w:type="spellEnd"/>
      <w:r w:rsidRPr="00922508">
        <w:rPr>
          <w:rFonts w:ascii="Times New Roman" w:hAnsi="Times New Roman" w:cs="Times New Roman"/>
          <w:sz w:val="24"/>
          <w:szCs w:val="24"/>
        </w:rPr>
        <w:t xml:space="preserve">. It is made of two peptide chains that form a tetrameric </w:t>
      </w:r>
      <w:proofErr w:type="spellStart"/>
      <w:r w:rsidRPr="00922508">
        <w:rPr>
          <w:rFonts w:ascii="Times New Roman" w:hAnsi="Times New Roman" w:cs="Times New Roman"/>
          <w:sz w:val="24"/>
          <w:szCs w:val="24"/>
        </w:rPr>
        <w:t>quarternary</w:t>
      </w:r>
      <w:proofErr w:type="spellEnd"/>
      <w:r w:rsidRPr="00922508">
        <w:rPr>
          <w:rFonts w:ascii="Times New Roman" w:hAnsi="Times New Roman" w:cs="Times New Roman"/>
          <w:sz w:val="24"/>
          <w:szCs w:val="24"/>
        </w:rPr>
        <w:t xml:space="preserve"> structure. These chains are linked by a disulfide bond, forming a Y-shape. </w:t>
      </w:r>
    </w:p>
    <w:p w:rsidR="00922508" w:rsidRPr="00922508" w:rsidRDefault="00922508" w:rsidP="00922508">
      <w:pPr>
        <w:spacing w:line="480" w:lineRule="auto"/>
        <w:rPr>
          <w:rFonts w:ascii="Times New Roman" w:hAnsi="Times New Roman" w:cs="Times New Roman"/>
          <w:sz w:val="24"/>
          <w:szCs w:val="24"/>
          <w:u w:val="single"/>
        </w:rPr>
      </w:pPr>
      <w:r w:rsidRPr="00922508">
        <w:rPr>
          <w:rFonts w:ascii="Times New Roman" w:hAnsi="Times New Roman" w:cs="Times New Roman"/>
          <w:sz w:val="24"/>
          <w:szCs w:val="24"/>
          <w:u w:val="single"/>
        </w:rPr>
        <w:t xml:space="preserve">Why I want to use </w:t>
      </w:r>
    </w:p>
    <w:p w:rsidR="00922508" w:rsidRPr="00922508" w:rsidRDefault="00922508" w:rsidP="00922508">
      <w:pPr>
        <w:spacing w:line="480" w:lineRule="auto"/>
        <w:rPr>
          <w:rFonts w:ascii="Times New Roman" w:hAnsi="Times New Roman" w:cs="Times New Roman"/>
          <w:sz w:val="24"/>
          <w:szCs w:val="24"/>
        </w:rPr>
      </w:pPr>
      <w:r w:rsidRPr="00922508">
        <w:rPr>
          <w:rFonts w:ascii="Times New Roman" w:hAnsi="Times New Roman" w:cs="Times New Roman"/>
          <w:sz w:val="24"/>
          <w:szCs w:val="24"/>
        </w:rPr>
        <w:t xml:space="preserve">I chose to use the IgG because of reasons as the ability of the immunoglobulin to bond on both cites having to ends with identical antigen binding sites because of its structure and composition. </w:t>
      </w:r>
    </w:p>
    <w:p w:rsidR="00922508" w:rsidRPr="00922508" w:rsidRDefault="00922508" w:rsidP="00922508">
      <w:pPr>
        <w:spacing w:line="480" w:lineRule="auto"/>
        <w:rPr>
          <w:rFonts w:ascii="Times New Roman" w:hAnsi="Times New Roman" w:cs="Times New Roman"/>
          <w:sz w:val="24"/>
          <w:szCs w:val="24"/>
        </w:rPr>
      </w:pPr>
      <w:r w:rsidRPr="00922508">
        <w:rPr>
          <w:rFonts w:ascii="Times New Roman" w:hAnsi="Times New Roman" w:cs="Times New Roman"/>
          <w:sz w:val="24"/>
          <w:szCs w:val="24"/>
        </w:rPr>
        <w:t>The IgG also can be used as a diagnostic for measuring an indication of immune status to a particular pathogen such as the poliovirus (</w:t>
      </w:r>
      <w:proofErr w:type="spellStart"/>
      <w:r w:rsidRPr="00922508">
        <w:rPr>
          <w:rFonts w:ascii="Times New Roman" w:hAnsi="Times New Roman" w:cs="Times New Roman"/>
          <w:sz w:val="24"/>
          <w:szCs w:val="24"/>
        </w:rPr>
        <w:t>Unkeless</w:t>
      </w:r>
      <w:proofErr w:type="spellEnd"/>
      <w:r w:rsidRPr="00922508">
        <w:rPr>
          <w:rFonts w:ascii="Times New Roman" w:hAnsi="Times New Roman" w:cs="Times New Roman"/>
          <w:sz w:val="24"/>
          <w:szCs w:val="24"/>
        </w:rPr>
        <w:t xml:space="preserve">, 1989). </w:t>
      </w:r>
    </w:p>
    <w:p w:rsidR="00922508" w:rsidRPr="00922508" w:rsidRDefault="00922508" w:rsidP="00922508">
      <w:pPr>
        <w:spacing w:line="480" w:lineRule="auto"/>
        <w:rPr>
          <w:rFonts w:ascii="Times New Roman" w:hAnsi="Times New Roman" w:cs="Times New Roman"/>
          <w:sz w:val="24"/>
          <w:szCs w:val="24"/>
        </w:rPr>
      </w:pPr>
      <w:r w:rsidRPr="00922508">
        <w:rPr>
          <w:rFonts w:ascii="Times New Roman" w:hAnsi="Times New Roman" w:cs="Times New Roman"/>
          <w:sz w:val="24"/>
          <w:szCs w:val="24"/>
        </w:rPr>
        <w:t>IgG also initiates the pathway of systems that result in pathogen eliminations in the body.</w:t>
      </w:r>
    </w:p>
    <w:p w:rsidR="00922508" w:rsidRPr="00922508" w:rsidRDefault="00922508" w:rsidP="00922508">
      <w:pPr>
        <w:spacing w:line="480" w:lineRule="auto"/>
        <w:rPr>
          <w:rFonts w:ascii="Times New Roman" w:hAnsi="Times New Roman" w:cs="Times New Roman"/>
          <w:sz w:val="24"/>
          <w:szCs w:val="24"/>
          <w:u w:val="single"/>
        </w:rPr>
      </w:pPr>
      <w:r w:rsidRPr="00922508">
        <w:rPr>
          <w:rFonts w:ascii="Times New Roman" w:hAnsi="Times New Roman" w:cs="Times New Roman"/>
          <w:sz w:val="24"/>
          <w:szCs w:val="24"/>
          <w:u w:val="single"/>
        </w:rPr>
        <w:t>How it can bind with CD155</w:t>
      </w:r>
    </w:p>
    <w:p w:rsidR="00CF03AD" w:rsidRPr="003C7649" w:rsidRDefault="00922508" w:rsidP="00922508">
      <w:pPr>
        <w:spacing w:line="480" w:lineRule="auto"/>
        <w:rPr>
          <w:rFonts w:ascii="Times New Roman" w:hAnsi="Times New Roman" w:cs="Times New Roman"/>
          <w:sz w:val="24"/>
          <w:szCs w:val="24"/>
        </w:rPr>
      </w:pPr>
      <w:r w:rsidRPr="00922508">
        <w:rPr>
          <w:rFonts w:ascii="Times New Roman" w:hAnsi="Times New Roman" w:cs="Times New Roman"/>
          <w:sz w:val="24"/>
          <w:szCs w:val="24"/>
        </w:rPr>
        <w:t>CD155 is commonly referred to as the primary receptor of poliovirus in the body of an exposed person. It is characterized by immunoglobin like adhesion. This adhesion will be responsible for the binding the immunoglobulin G to the CD155 (</w:t>
      </w:r>
      <w:proofErr w:type="spellStart"/>
      <w:r w:rsidRPr="00922508">
        <w:rPr>
          <w:rFonts w:ascii="Times New Roman" w:hAnsi="Times New Roman" w:cs="Times New Roman"/>
          <w:sz w:val="24"/>
          <w:szCs w:val="24"/>
        </w:rPr>
        <w:t>Unkeless</w:t>
      </w:r>
      <w:proofErr w:type="spellEnd"/>
      <w:r w:rsidRPr="00922508">
        <w:rPr>
          <w:rFonts w:ascii="Times New Roman" w:hAnsi="Times New Roman" w:cs="Times New Roman"/>
          <w:sz w:val="24"/>
          <w:szCs w:val="24"/>
        </w:rPr>
        <w:t>, 1989).</w:t>
      </w:r>
    </w:p>
    <w:p w:rsidR="00E2684D" w:rsidRPr="003C7649" w:rsidRDefault="00E2684D" w:rsidP="002B3A10">
      <w:pPr>
        <w:spacing w:line="480" w:lineRule="auto"/>
        <w:rPr>
          <w:rFonts w:ascii="Times New Roman" w:hAnsi="Times New Roman" w:cs="Times New Roman"/>
          <w:sz w:val="24"/>
          <w:szCs w:val="24"/>
        </w:rPr>
      </w:pPr>
    </w:p>
    <w:p w:rsidR="00E2684D" w:rsidRPr="003C7649" w:rsidRDefault="00E2684D" w:rsidP="002B3A10">
      <w:pPr>
        <w:spacing w:line="480" w:lineRule="auto"/>
        <w:rPr>
          <w:rFonts w:ascii="Times New Roman" w:hAnsi="Times New Roman" w:cs="Times New Roman"/>
          <w:sz w:val="24"/>
          <w:szCs w:val="24"/>
        </w:rPr>
      </w:pPr>
    </w:p>
    <w:p w:rsidR="00E2684D" w:rsidRPr="003C7649" w:rsidRDefault="00E2684D" w:rsidP="002B3A10">
      <w:pPr>
        <w:spacing w:line="480" w:lineRule="auto"/>
        <w:rPr>
          <w:rFonts w:ascii="Times New Roman" w:hAnsi="Times New Roman" w:cs="Times New Roman"/>
          <w:sz w:val="24"/>
          <w:szCs w:val="24"/>
        </w:rPr>
      </w:pPr>
    </w:p>
    <w:p w:rsidR="00E2684D" w:rsidRPr="003C7649" w:rsidRDefault="00E2684D" w:rsidP="002B3A10">
      <w:pPr>
        <w:spacing w:line="480" w:lineRule="auto"/>
        <w:rPr>
          <w:rFonts w:ascii="Times New Roman" w:hAnsi="Times New Roman" w:cs="Times New Roman"/>
          <w:sz w:val="24"/>
          <w:szCs w:val="24"/>
        </w:rPr>
      </w:pPr>
    </w:p>
    <w:p w:rsidR="00E2684D" w:rsidRPr="003C7649" w:rsidRDefault="00E2684D" w:rsidP="002B3A10">
      <w:pPr>
        <w:spacing w:line="480" w:lineRule="auto"/>
        <w:rPr>
          <w:rFonts w:ascii="Times New Roman" w:hAnsi="Times New Roman" w:cs="Times New Roman"/>
          <w:sz w:val="24"/>
          <w:szCs w:val="24"/>
        </w:rPr>
      </w:pPr>
    </w:p>
    <w:p w:rsidR="00E2684D" w:rsidRPr="003C7649" w:rsidRDefault="00E2684D" w:rsidP="002B3A10">
      <w:pPr>
        <w:spacing w:line="480" w:lineRule="auto"/>
        <w:rPr>
          <w:rFonts w:ascii="Times New Roman" w:hAnsi="Times New Roman" w:cs="Times New Roman"/>
          <w:sz w:val="24"/>
          <w:szCs w:val="24"/>
        </w:rPr>
      </w:pPr>
    </w:p>
    <w:p w:rsidR="00E2684D" w:rsidRPr="003C7649" w:rsidRDefault="00E2684D" w:rsidP="002B3A10">
      <w:pPr>
        <w:spacing w:line="480" w:lineRule="auto"/>
        <w:rPr>
          <w:rFonts w:ascii="Times New Roman" w:hAnsi="Times New Roman" w:cs="Times New Roman"/>
          <w:sz w:val="24"/>
          <w:szCs w:val="24"/>
        </w:rPr>
      </w:pPr>
    </w:p>
    <w:p w:rsidR="00E2684D" w:rsidRPr="003C7649" w:rsidRDefault="00E2684D" w:rsidP="002B3A10">
      <w:pPr>
        <w:spacing w:line="480" w:lineRule="auto"/>
        <w:rPr>
          <w:rFonts w:ascii="Times New Roman" w:hAnsi="Times New Roman" w:cs="Times New Roman"/>
          <w:sz w:val="24"/>
          <w:szCs w:val="24"/>
        </w:rPr>
      </w:pPr>
    </w:p>
    <w:p w:rsidR="00E2684D" w:rsidRPr="003C7649" w:rsidRDefault="00E2684D" w:rsidP="002B3A10">
      <w:pPr>
        <w:spacing w:line="480" w:lineRule="auto"/>
        <w:rPr>
          <w:rFonts w:ascii="Times New Roman" w:hAnsi="Times New Roman" w:cs="Times New Roman"/>
          <w:sz w:val="24"/>
          <w:szCs w:val="24"/>
        </w:rPr>
      </w:pPr>
    </w:p>
    <w:p w:rsidR="00E2684D" w:rsidRPr="003C7649" w:rsidRDefault="00E2684D" w:rsidP="002B3A10">
      <w:pPr>
        <w:spacing w:line="480" w:lineRule="auto"/>
        <w:rPr>
          <w:rFonts w:ascii="Times New Roman" w:hAnsi="Times New Roman" w:cs="Times New Roman"/>
          <w:sz w:val="24"/>
          <w:szCs w:val="24"/>
        </w:rPr>
      </w:pPr>
    </w:p>
    <w:p w:rsidR="00E2684D" w:rsidRPr="003C7649" w:rsidRDefault="00E2684D" w:rsidP="002B3A10">
      <w:pPr>
        <w:spacing w:line="480" w:lineRule="auto"/>
        <w:rPr>
          <w:rFonts w:ascii="Times New Roman" w:hAnsi="Times New Roman" w:cs="Times New Roman"/>
          <w:sz w:val="24"/>
          <w:szCs w:val="24"/>
        </w:rPr>
      </w:pPr>
    </w:p>
    <w:p w:rsidR="00E2684D" w:rsidRPr="003C7649" w:rsidRDefault="00E2684D" w:rsidP="002B3A10">
      <w:pPr>
        <w:spacing w:line="480" w:lineRule="auto"/>
        <w:rPr>
          <w:rFonts w:ascii="Times New Roman" w:hAnsi="Times New Roman" w:cs="Times New Roman"/>
          <w:sz w:val="24"/>
          <w:szCs w:val="24"/>
        </w:rPr>
      </w:pPr>
      <w:r w:rsidRPr="003C7649">
        <w:rPr>
          <w:rFonts w:ascii="Times New Roman" w:hAnsi="Times New Roman" w:cs="Times New Roman"/>
          <w:sz w:val="24"/>
          <w:szCs w:val="24"/>
        </w:rPr>
        <w:t>References</w:t>
      </w:r>
    </w:p>
    <w:p w:rsidR="00E2684D" w:rsidRPr="003C7649" w:rsidRDefault="00E2684D" w:rsidP="002B3A10">
      <w:pPr>
        <w:spacing w:line="480" w:lineRule="auto"/>
        <w:rPr>
          <w:rFonts w:ascii="Times New Roman" w:hAnsi="Times New Roman" w:cs="Times New Roman"/>
          <w:sz w:val="24"/>
          <w:szCs w:val="24"/>
        </w:rPr>
      </w:pPr>
      <w:r w:rsidRPr="003C7649">
        <w:rPr>
          <w:rFonts w:ascii="Times New Roman" w:hAnsi="Times New Roman" w:cs="Times New Roman"/>
          <w:sz w:val="24"/>
          <w:szCs w:val="24"/>
        </w:rPr>
        <w:t xml:space="preserve"> </w:t>
      </w:r>
    </w:p>
    <w:p w:rsidR="00E2684D" w:rsidRPr="003C7649" w:rsidRDefault="00E2684D" w:rsidP="002B3A10">
      <w:pPr>
        <w:spacing w:line="480" w:lineRule="auto"/>
        <w:rPr>
          <w:rFonts w:ascii="Times New Roman" w:hAnsi="Times New Roman" w:cs="Times New Roman"/>
          <w:i/>
          <w:iCs/>
          <w:color w:val="222222"/>
          <w:sz w:val="24"/>
          <w:szCs w:val="24"/>
          <w:shd w:val="clear" w:color="auto" w:fill="FFFFFF"/>
        </w:rPr>
      </w:pPr>
      <w:r w:rsidRPr="003C7649">
        <w:rPr>
          <w:rFonts w:ascii="Times New Roman" w:hAnsi="Times New Roman" w:cs="Times New Roman"/>
          <w:color w:val="222222"/>
          <w:sz w:val="24"/>
          <w:szCs w:val="24"/>
          <w:shd w:val="clear" w:color="auto" w:fill="FFFFFF"/>
        </w:rPr>
        <w:t>Paul, J. R. (1971). A history of poliomyelitis. </w:t>
      </w:r>
      <w:r w:rsidRPr="003C7649">
        <w:rPr>
          <w:rFonts w:ascii="Times New Roman" w:hAnsi="Times New Roman" w:cs="Times New Roman"/>
          <w:i/>
          <w:iCs/>
          <w:color w:val="222222"/>
          <w:sz w:val="24"/>
          <w:szCs w:val="24"/>
          <w:shd w:val="clear" w:color="auto" w:fill="FFFFFF"/>
        </w:rPr>
        <w:t>A history of poliomyelitis.</w:t>
      </w:r>
    </w:p>
    <w:p w:rsidR="00E2684D" w:rsidRPr="003C7649" w:rsidRDefault="00E2684D" w:rsidP="002B3A10">
      <w:pPr>
        <w:spacing w:line="480" w:lineRule="auto"/>
        <w:rPr>
          <w:rFonts w:ascii="Times New Roman" w:hAnsi="Times New Roman" w:cs="Times New Roman"/>
          <w:color w:val="222222"/>
          <w:sz w:val="24"/>
          <w:szCs w:val="24"/>
          <w:shd w:val="clear" w:color="auto" w:fill="FFFFFF"/>
        </w:rPr>
      </w:pPr>
      <w:proofErr w:type="spellStart"/>
      <w:r w:rsidRPr="003C7649">
        <w:rPr>
          <w:rFonts w:ascii="Times New Roman" w:hAnsi="Times New Roman" w:cs="Times New Roman"/>
          <w:color w:val="222222"/>
          <w:sz w:val="24"/>
          <w:szCs w:val="24"/>
          <w:shd w:val="clear" w:color="auto" w:fill="FFFFFF"/>
        </w:rPr>
        <w:t>Hovi</w:t>
      </w:r>
      <w:proofErr w:type="spellEnd"/>
      <w:r w:rsidRPr="003C7649">
        <w:rPr>
          <w:rFonts w:ascii="Times New Roman" w:hAnsi="Times New Roman" w:cs="Times New Roman"/>
          <w:color w:val="222222"/>
          <w:sz w:val="24"/>
          <w:szCs w:val="24"/>
          <w:shd w:val="clear" w:color="auto" w:fill="FFFFFF"/>
        </w:rPr>
        <w:t xml:space="preserve">, T., Shulman, L. M., Van Der </w:t>
      </w:r>
      <w:proofErr w:type="spellStart"/>
      <w:r w:rsidRPr="003C7649">
        <w:rPr>
          <w:rFonts w:ascii="Times New Roman" w:hAnsi="Times New Roman" w:cs="Times New Roman"/>
          <w:color w:val="222222"/>
          <w:sz w:val="24"/>
          <w:szCs w:val="24"/>
          <w:shd w:val="clear" w:color="auto" w:fill="FFFFFF"/>
        </w:rPr>
        <w:t>Avoort</w:t>
      </w:r>
      <w:proofErr w:type="spellEnd"/>
      <w:r w:rsidRPr="003C7649">
        <w:rPr>
          <w:rFonts w:ascii="Times New Roman" w:hAnsi="Times New Roman" w:cs="Times New Roman"/>
          <w:color w:val="222222"/>
          <w:sz w:val="24"/>
          <w:szCs w:val="24"/>
          <w:shd w:val="clear" w:color="auto" w:fill="FFFFFF"/>
        </w:rPr>
        <w:t xml:space="preserve">, H., Deshpande, J., </w:t>
      </w:r>
      <w:proofErr w:type="spellStart"/>
      <w:r w:rsidRPr="003C7649">
        <w:rPr>
          <w:rFonts w:ascii="Times New Roman" w:hAnsi="Times New Roman" w:cs="Times New Roman"/>
          <w:color w:val="222222"/>
          <w:sz w:val="24"/>
          <w:szCs w:val="24"/>
          <w:shd w:val="clear" w:color="auto" w:fill="FFFFFF"/>
        </w:rPr>
        <w:t>Roivainen</w:t>
      </w:r>
      <w:proofErr w:type="spellEnd"/>
      <w:r w:rsidRPr="003C7649">
        <w:rPr>
          <w:rFonts w:ascii="Times New Roman" w:hAnsi="Times New Roman" w:cs="Times New Roman"/>
          <w:color w:val="222222"/>
          <w:sz w:val="24"/>
          <w:szCs w:val="24"/>
          <w:shd w:val="clear" w:color="auto" w:fill="FFFFFF"/>
        </w:rPr>
        <w:t xml:space="preserve">, M., &amp; De </w:t>
      </w:r>
      <w:proofErr w:type="spellStart"/>
      <w:r w:rsidRPr="003C7649">
        <w:rPr>
          <w:rFonts w:ascii="Times New Roman" w:hAnsi="Times New Roman" w:cs="Times New Roman"/>
          <w:color w:val="222222"/>
          <w:sz w:val="24"/>
          <w:szCs w:val="24"/>
          <w:shd w:val="clear" w:color="auto" w:fill="FFFFFF"/>
        </w:rPr>
        <w:t>Gourville</w:t>
      </w:r>
      <w:proofErr w:type="spellEnd"/>
      <w:r w:rsidRPr="003C7649">
        <w:rPr>
          <w:rFonts w:ascii="Times New Roman" w:hAnsi="Times New Roman" w:cs="Times New Roman"/>
          <w:color w:val="222222"/>
          <w:sz w:val="24"/>
          <w:szCs w:val="24"/>
          <w:shd w:val="clear" w:color="auto" w:fill="FFFFFF"/>
        </w:rPr>
        <w:t>, E. M. (2012). Role of environmental poliovirus surveillance in global polio eradication and beyond. </w:t>
      </w:r>
      <w:r w:rsidRPr="003C7649">
        <w:rPr>
          <w:rFonts w:ascii="Times New Roman" w:hAnsi="Times New Roman" w:cs="Times New Roman"/>
          <w:i/>
          <w:iCs/>
          <w:color w:val="222222"/>
          <w:sz w:val="24"/>
          <w:szCs w:val="24"/>
          <w:shd w:val="clear" w:color="auto" w:fill="FFFFFF"/>
        </w:rPr>
        <w:t>Epidemiology &amp; Infection</w:t>
      </w:r>
      <w:r w:rsidRPr="003C7649">
        <w:rPr>
          <w:rFonts w:ascii="Times New Roman" w:hAnsi="Times New Roman" w:cs="Times New Roman"/>
          <w:color w:val="222222"/>
          <w:sz w:val="24"/>
          <w:szCs w:val="24"/>
          <w:shd w:val="clear" w:color="auto" w:fill="FFFFFF"/>
        </w:rPr>
        <w:t>, </w:t>
      </w:r>
      <w:r w:rsidRPr="003C7649">
        <w:rPr>
          <w:rFonts w:ascii="Times New Roman" w:hAnsi="Times New Roman" w:cs="Times New Roman"/>
          <w:i/>
          <w:iCs/>
          <w:color w:val="222222"/>
          <w:sz w:val="24"/>
          <w:szCs w:val="24"/>
          <w:shd w:val="clear" w:color="auto" w:fill="FFFFFF"/>
        </w:rPr>
        <w:t>140</w:t>
      </w:r>
      <w:r w:rsidRPr="003C7649">
        <w:rPr>
          <w:rFonts w:ascii="Times New Roman" w:hAnsi="Times New Roman" w:cs="Times New Roman"/>
          <w:color w:val="222222"/>
          <w:sz w:val="24"/>
          <w:szCs w:val="24"/>
          <w:shd w:val="clear" w:color="auto" w:fill="FFFFFF"/>
        </w:rPr>
        <w:t>(1), 1-13.</w:t>
      </w:r>
    </w:p>
    <w:p w:rsidR="00E2684D" w:rsidRPr="003C7649" w:rsidRDefault="00E2684D" w:rsidP="002B3A10">
      <w:pPr>
        <w:spacing w:line="480" w:lineRule="auto"/>
        <w:rPr>
          <w:rFonts w:ascii="Times New Roman" w:hAnsi="Times New Roman" w:cs="Times New Roman"/>
          <w:color w:val="222222"/>
          <w:sz w:val="24"/>
          <w:szCs w:val="24"/>
          <w:shd w:val="clear" w:color="auto" w:fill="FFFFFF"/>
        </w:rPr>
      </w:pPr>
      <w:r w:rsidRPr="003C7649">
        <w:rPr>
          <w:rFonts w:ascii="Times New Roman" w:hAnsi="Times New Roman" w:cs="Times New Roman"/>
          <w:color w:val="222222"/>
          <w:sz w:val="24"/>
          <w:szCs w:val="24"/>
          <w:shd w:val="clear" w:color="auto" w:fill="FFFFFF"/>
        </w:rPr>
        <w:t>Koch, F., &amp; Koch, G. (2012). </w:t>
      </w:r>
      <w:r w:rsidRPr="003C7649">
        <w:rPr>
          <w:rFonts w:ascii="Times New Roman" w:hAnsi="Times New Roman" w:cs="Times New Roman"/>
          <w:i/>
          <w:iCs/>
          <w:color w:val="222222"/>
          <w:sz w:val="24"/>
          <w:szCs w:val="24"/>
          <w:shd w:val="clear" w:color="auto" w:fill="FFFFFF"/>
        </w:rPr>
        <w:t>The molecular biology of poliovirus</w:t>
      </w:r>
      <w:r w:rsidRPr="003C7649">
        <w:rPr>
          <w:rFonts w:ascii="Times New Roman" w:hAnsi="Times New Roman" w:cs="Times New Roman"/>
          <w:color w:val="222222"/>
          <w:sz w:val="24"/>
          <w:szCs w:val="24"/>
          <w:shd w:val="clear" w:color="auto" w:fill="FFFFFF"/>
        </w:rPr>
        <w:t>. Springer Science &amp; Business Media.</w:t>
      </w:r>
    </w:p>
    <w:p w:rsidR="00E2684D" w:rsidRPr="003C7649" w:rsidRDefault="00E2684D" w:rsidP="002B3A10">
      <w:pPr>
        <w:spacing w:line="480" w:lineRule="auto"/>
        <w:rPr>
          <w:rFonts w:ascii="Times New Roman" w:hAnsi="Times New Roman" w:cs="Times New Roman"/>
          <w:color w:val="222222"/>
          <w:sz w:val="24"/>
          <w:szCs w:val="24"/>
          <w:shd w:val="clear" w:color="auto" w:fill="FFFFFF"/>
        </w:rPr>
      </w:pPr>
      <w:proofErr w:type="spellStart"/>
      <w:r w:rsidRPr="003C7649">
        <w:rPr>
          <w:rFonts w:ascii="Times New Roman" w:hAnsi="Times New Roman" w:cs="Times New Roman"/>
          <w:color w:val="222222"/>
          <w:sz w:val="24"/>
          <w:szCs w:val="24"/>
          <w:shd w:val="clear" w:color="auto" w:fill="FFFFFF"/>
        </w:rPr>
        <w:t>Atsumi</w:t>
      </w:r>
      <w:proofErr w:type="spellEnd"/>
      <w:r w:rsidRPr="003C7649">
        <w:rPr>
          <w:rFonts w:ascii="Times New Roman" w:hAnsi="Times New Roman" w:cs="Times New Roman"/>
          <w:color w:val="222222"/>
          <w:sz w:val="24"/>
          <w:szCs w:val="24"/>
          <w:shd w:val="clear" w:color="auto" w:fill="FFFFFF"/>
        </w:rPr>
        <w:t xml:space="preserve">, S., </w:t>
      </w:r>
      <w:proofErr w:type="spellStart"/>
      <w:r w:rsidRPr="003C7649">
        <w:rPr>
          <w:rFonts w:ascii="Times New Roman" w:hAnsi="Times New Roman" w:cs="Times New Roman"/>
          <w:color w:val="222222"/>
          <w:sz w:val="24"/>
          <w:szCs w:val="24"/>
          <w:shd w:val="clear" w:color="auto" w:fill="FFFFFF"/>
        </w:rPr>
        <w:t>Matsumine</w:t>
      </w:r>
      <w:proofErr w:type="spellEnd"/>
      <w:r w:rsidRPr="003C7649">
        <w:rPr>
          <w:rFonts w:ascii="Times New Roman" w:hAnsi="Times New Roman" w:cs="Times New Roman"/>
          <w:color w:val="222222"/>
          <w:sz w:val="24"/>
          <w:szCs w:val="24"/>
          <w:shd w:val="clear" w:color="auto" w:fill="FFFFFF"/>
        </w:rPr>
        <w:t xml:space="preserve">, A., Toyoda, H., </w:t>
      </w:r>
      <w:proofErr w:type="spellStart"/>
      <w:r w:rsidRPr="003C7649">
        <w:rPr>
          <w:rFonts w:ascii="Times New Roman" w:hAnsi="Times New Roman" w:cs="Times New Roman"/>
          <w:color w:val="222222"/>
          <w:sz w:val="24"/>
          <w:szCs w:val="24"/>
          <w:shd w:val="clear" w:color="auto" w:fill="FFFFFF"/>
        </w:rPr>
        <w:t>Niimi</w:t>
      </w:r>
      <w:proofErr w:type="spellEnd"/>
      <w:r w:rsidRPr="003C7649">
        <w:rPr>
          <w:rFonts w:ascii="Times New Roman" w:hAnsi="Times New Roman" w:cs="Times New Roman"/>
          <w:color w:val="222222"/>
          <w:sz w:val="24"/>
          <w:szCs w:val="24"/>
          <w:shd w:val="clear" w:color="auto" w:fill="FFFFFF"/>
        </w:rPr>
        <w:t xml:space="preserve">, R., Iino, T., &amp; </w:t>
      </w:r>
      <w:proofErr w:type="spellStart"/>
      <w:r w:rsidRPr="003C7649">
        <w:rPr>
          <w:rFonts w:ascii="Times New Roman" w:hAnsi="Times New Roman" w:cs="Times New Roman"/>
          <w:color w:val="222222"/>
          <w:sz w:val="24"/>
          <w:szCs w:val="24"/>
          <w:shd w:val="clear" w:color="auto" w:fill="FFFFFF"/>
        </w:rPr>
        <w:t>Sudo</w:t>
      </w:r>
      <w:proofErr w:type="spellEnd"/>
      <w:r w:rsidRPr="003C7649">
        <w:rPr>
          <w:rFonts w:ascii="Times New Roman" w:hAnsi="Times New Roman" w:cs="Times New Roman"/>
          <w:color w:val="222222"/>
          <w:sz w:val="24"/>
          <w:szCs w:val="24"/>
          <w:shd w:val="clear" w:color="auto" w:fill="FFFFFF"/>
        </w:rPr>
        <w:t>, A. (2013). Prognostic significance of CD155 mRNA expression in soft tissue sarcomas. </w:t>
      </w:r>
      <w:r w:rsidRPr="003C7649">
        <w:rPr>
          <w:rFonts w:ascii="Times New Roman" w:hAnsi="Times New Roman" w:cs="Times New Roman"/>
          <w:i/>
          <w:iCs/>
          <w:color w:val="222222"/>
          <w:sz w:val="24"/>
          <w:szCs w:val="24"/>
          <w:shd w:val="clear" w:color="auto" w:fill="FFFFFF"/>
        </w:rPr>
        <w:t>Oncology letters</w:t>
      </w:r>
      <w:r w:rsidRPr="003C7649">
        <w:rPr>
          <w:rFonts w:ascii="Times New Roman" w:hAnsi="Times New Roman" w:cs="Times New Roman"/>
          <w:color w:val="222222"/>
          <w:sz w:val="24"/>
          <w:szCs w:val="24"/>
          <w:shd w:val="clear" w:color="auto" w:fill="FFFFFF"/>
        </w:rPr>
        <w:t>, </w:t>
      </w:r>
      <w:r w:rsidRPr="003C7649">
        <w:rPr>
          <w:rFonts w:ascii="Times New Roman" w:hAnsi="Times New Roman" w:cs="Times New Roman"/>
          <w:i/>
          <w:iCs/>
          <w:color w:val="222222"/>
          <w:sz w:val="24"/>
          <w:szCs w:val="24"/>
          <w:shd w:val="clear" w:color="auto" w:fill="FFFFFF"/>
        </w:rPr>
        <w:t>5</w:t>
      </w:r>
      <w:r w:rsidRPr="003C7649">
        <w:rPr>
          <w:rFonts w:ascii="Times New Roman" w:hAnsi="Times New Roman" w:cs="Times New Roman"/>
          <w:color w:val="222222"/>
          <w:sz w:val="24"/>
          <w:szCs w:val="24"/>
          <w:shd w:val="clear" w:color="auto" w:fill="FFFFFF"/>
        </w:rPr>
        <w:t>(6), 1771-1776.</w:t>
      </w:r>
    </w:p>
    <w:p w:rsidR="00E2684D" w:rsidRPr="003C7649" w:rsidRDefault="00E2684D" w:rsidP="002B3A10">
      <w:pPr>
        <w:spacing w:line="480" w:lineRule="auto"/>
        <w:rPr>
          <w:rFonts w:ascii="Times New Roman" w:hAnsi="Times New Roman" w:cs="Times New Roman"/>
          <w:sz w:val="24"/>
          <w:szCs w:val="24"/>
        </w:rPr>
      </w:pPr>
      <w:proofErr w:type="spellStart"/>
      <w:r w:rsidRPr="003C7649">
        <w:rPr>
          <w:rFonts w:ascii="Times New Roman" w:hAnsi="Times New Roman" w:cs="Times New Roman"/>
          <w:color w:val="222222"/>
          <w:sz w:val="24"/>
          <w:szCs w:val="24"/>
          <w:shd w:val="clear" w:color="auto" w:fill="FFFFFF"/>
        </w:rPr>
        <w:t>Unkeless</w:t>
      </w:r>
      <w:proofErr w:type="spellEnd"/>
      <w:r w:rsidRPr="003C7649">
        <w:rPr>
          <w:rFonts w:ascii="Times New Roman" w:hAnsi="Times New Roman" w:cs="Times New Roman"/>
          <w:color w:val="222222"/>
          <w:sz w:val="24"/>
          <w:szCs w:val="24"/>
          <w:shd w:val="clear" w:color="auto" w:fill="FFFFFF"/>
        </w:rPr>
        <w:t>, J. C. (1989). Function and heterogeneity of human Fc receptors for immunoglobulin G. </w:t>
      </w:r>
      <w:r w:rsidRPr="003C7649">
        <w:rPr>
          <w:rFonts w:ascii="Times New Roman" w:hAnsi="Times New Roman" w:cs="Times New Roman"/>
          <w:i/>
          <w:iCs/>
          <w:color w:val="222222"/>
          <w:sz w:val="24"/>
          <w:szCs w:val="24"/>
          <w:shd w:val="clear" w:color="auto" w:fill="FFFFFF"/>
        </w:rPr>
        <w:t>Journal of Clinical Investigation</w:t>
      </w:r>
      <w:r w:rsidRPr="003C7649">
        <w:rPr>
          <w:rFonts w:ascii="Times New Roman" w:hAnsi="Times New Roman" w:cs="Times New Roman"/>
          <w:color w:val="222222"/>
          <w:sz w:val="24"/>
          <w:szCs w:val="24"/>
          <w:shd w:val="clear" w:color="auto" w:fill="FFFFFF"/>
        </w:rPr>
        <w:t>, </w:t>
      </w:r>
      <w:r w:rsidRPr="003C7649">
        <w:rPr>
          <w:rFonts w:ascii="Times New Roman" w:hAnsi="Times New Roman" w:cs="Times New Roman"/>
          <w:i/>
          <w:iCs/>
          <w:color w:val="222222"/>
          <w:sz w:val="24"/>
          <w:szCs w:val="24"/>
          <w:shd w:val="clear" w:color="auto" w:fill="FFFFFF"/>
        </w:rPr>
        <w:t>83</w:t>
      </w:r>
      <w:r w:rsidRPr="003C7649">
        <w:rPr>
          <w:rFonts w:ascii="Times New Roman" w:hAnsi="Times New Roman" w:cs="Times New Roman"/>
          <w:color w:val="222222"/>
          <w:sz w:val="24"/>
          <w:szCs w:val="24"/>
          <w:shd w:val="clear" w:color="auto" w:fill="FFFFFF"/>
        </w:rPr>
        <w:t>(2), 355.</w:t>
      </w:r>
    </w:p>
    <w:p w:rsidR="003C7649" w:rsidRPr="003C7649" w:rsidRDefault="003C7649">
      <w:pPr>
        <w:spacing w:line="480" w:lineRule="auto"/>
        <w:rPr>
          <w:rFonts w:ascii="Times New Roman" w:hAnsi="Times New Roman" w:cs="Times New Roman"/>
          <w:sz w:val="24"/>
          <w:szCs w:val="24"/>
        </w:rPr>
      </w:pPr>
    </w:p>
    <w:sectPr w:rsidR="003C7649" w:rsidRPr="003C764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6F1B"/>
    <w:rsid w:val="000434FF"/>
    <w:rsid w:val="000A2BA6"/>
    <w:rsid w:val="00156555"/>
    <w:rsid w:val="00163EAD"/>
    <w:rsid w:val="002B3A10"/>
    <w:rsid w:val="003C7649"/>
    <w:rsid w:val="0044077A"/>
    <w:rsid w:val="00525563"/>
    <w:rsid w:val="00532CA1"/>
    <w:rsid w:val="005802D8"/>
    <w:rsid w:val="005947BC"/>
    <w:rsid w:val="00623DFC"/>
    <w:rsid w:val="0069566A"/>
    <w:rsid w:val="008414BD"/>
    <w:rsid w:val="008C7DE5"/>
    <w:rsid w:val="00906336"/>
    <w:rsid w:val="00922508"/>
    <w:rsid w:val="00933301"/>
    <w:rsid w:val="00995415"/>
    <w:rsid w:val="00A3387B"/>
    <w:rsid w:val="00A457E8"/>
    <w:rsid w:val="00AE531B"/>
    <w:rsid w:val="00AF5D53"/>
    <w:rsid w:val="00B22585"/>
    <w:rsid w:val="00C6778F"/>
    <w:rsid w:val="00C87F96"/>
    <w:rsid w:val="00CF03AD"/>
    <w:rsid w:val="00DB6993"/>
    <w:rsid w:val="00E009DF"/>
    <w:rsid w:val="00E14D1E"/>
    <w:rsid w:val="00E2337C"/>
    <w:rsid w:val="00E2684D"/>
    <w:rsid w:val="00EF6F1B"/>
    <w:rsid w:val="00F25DC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DFC"/>
    <w:pPr>
      <w:spacing w:after="0" w:line="240" w:lineRule="auto"/>
    </w:pPr>
    <w:rPr>
      <w:rFonts w:eastAsiaTheme="minorEastAsia"/>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DFC"/>
    <w:pPr>
      <w:spacing w:after="0" w:line="240" w:lineRule="auto"/>
    </w:pPr>
    <w:rPr>
      <w:rFonts w:eastAsiaTheme="minorEastAsia"/>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1048</Words>
  <Characters>5978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2018-01-22T19:43:00Z</dcterms:created>
  <dcterms:modified xsi:type="dcterms:W3CDTF">2018-01-22T19:43:00Z</dcterms:modified>
</cp:coreProperties>
</file>