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61EEA" w14:textId="77777777" w:rsidR="0044688D" w:rsidRPr="00BF27C5" w:rsidRDefault="0044688D" w:rsidP="0044688D">
      <w:pPr>
        <w:rPr>
          <w:rFonts w:ascii="Garamond" w:hAnsi="Garamond"/>
        </w:rPr>
      </w:pPr>
      <w:r w:rsidRPr="00BF27C5">
        <w:rPr>
          <w:rFonts w:ascii="Garamond" w:hAnsi="Garamond"/>
        </w:rPr>
        <w:t>ENG 3080J</w:t>
      </w:r>
    </w:p>
    <w:p w14:paraId="181CCF47" w14:textId="77777777" w:rsidR="0044688D" w:rsidRPr="00BF27C5" w:rsidRDefault="0044688D" w:rsidP="0044688D">
      <w:pPr>
        <w:rPr>
          <w:rFonts w:ascii="Garamond" w:hAnsi="Garamond"/>
        </w:rPr>
      </w:pPr>
      <w:r w:rsidRPr="00BF27C5">
        <w:rPr>
          <w:rFonts w:ascii="Garamond" w:hAnsi="Garamond"/>
        </w:rPr>
        <w:t>Hollis</w:t>
      </w:r>
    </w:p>
    <w:p w14:paraId="24488939" w14:textId="77777777" w:rsidR="0044688D" w:rsidRPr="00BF27C5" w:rsidRDefault="0044688D" w:rsidP="0044688D">
      <w:pPr>
        <w:rPr>
          <w:rFonts w:ascii="Garamond" w:hAnsi="Garamond"/>
        </w:rPr>
      </w:pPr>
      <w:r w:rsidRPr="00BF27C5">
        <w:rPr>
          <w:rFonts w:ascii="Garamond" w:hAnsi="Garamond"/>
        </w:rPr>
        <w:t>Spring 2020</w:t>
      </w:r>
    </w:p>
    <w:p w14:paraId="0DC50C8D" w14:textId="77777777" w:rsidR="0044688D" w:rsidRPr="00BF27C5" w:rsidRDefault="0044688D" w:rsidP="0044688D">
      <w:pPr>
        <w:rPr>
          <w:rFonts w:ascii="Garamond" w:hAnsi="Garamond"/>
        </w:rPr>
      </w:pPr>
    </w:p>
    <w:p w14:paraId="406FEF01" w14:textId="77777777" w:rsidR="00BF27C5" w:rsidRDefault="0044688D" w:rsidP="0044688D">
      <w:pPr>
        <w:jc w:val="center"/>
        <w:rPr>
          <w:rFonts w:ascii="Garamond" w:hAnsi="Garamond"/>
          <w:b/>
        </w:rPr>
      </w:pPr>
      <w:r w:rsidRPr="00BF27C5">
        <w:rPr>
          <w:rFonts w:ascii="Garamond" w:hAnsi="Garamond"/>
          <w:b/>
        </w:rPr>
        <w:t>Research Project</w:t>
      </w:r>
      <w:r w:rsidR="00BF27C5">
        <w:rPr>
          <w:rFonts w:ascii="Garamond" w:hAnsi="Garamond"/>
          <w:b/>
        </w:rPr>
        <w:t>:</w:t>
      </w:r>
    </w:p>
    <w:p w14:paraId="5B7F4394" w14:textId="2179CB1B" w:rsidR="0044688D" w:rsidRPr="00BF27C5" w:rsidRDefault="00BF27C5" w:rsidP="0044688D">
      <w:pPr>
        <w:jc w:val="center"/>
        <w:rPr>
          <w:rFonts w:ascii="Garamond" w:hAnsi="Garamond"/>
          <w:b/>
        </w:rPr>
      </w:pPr>
      <w:r>
        <w:rPr>
          <w:rFonts w:ascii="Garamond" w:hAnsi="Garamond"/>
          <w:b/>
        </w:rPr>
        <w:t>Living Through an Apocalypse: What was It Like?</w:t>
      </w:r>
    </w:p>
    <w:p w14:paraId="73638EE9" w14:textId="77777777" w:rsidR="0044688D" w:rsidRPr="00BF27C5" w:rsidRDefault="0044688D" w:rsidP="0044688D">
      <w:pPr>
        <w:rPr>
          <w:rFonts w:ascii="Garamond" w:hAnsi="Garamond"/>
          <w:b/>
        </w:rPr>
      </w:pPr>
    </w:p>
    <w:p w14:paraId="26B4B2D3" w14:textId="1BB4DA8D" w:rsidR="00351BE4" w:rsidRDefault="00E31782" w:rsidP="00BF27C5">
      <w:pPr>
        <w:rPr>
          <w:rFonts w:ascii="Garamond" w:hAnsi="Garamond"/>
          <w:bCs/>
        </w:rPr>
      </w:pPr>
      <w:r>
        <w:rPr>
          <w:rFonts w:ascii="Garamond" w:hAnsi="Garamond"/>
          <w:bCs/>
        </w:rPr>
        <w:t xml:space="preserve">Some might argue we are living through an apocalyptic event right now, since daily life has been upended in some significant ways for a lot of us. We know what this is like because we </w:t>
      </w:r>
      <w:r w:rsidR="00107BA7">
        <w:rPr>
          <w:rFonts w:ascii="Garamond" w:hAnsi="Garamond"/>
          <w:bCs/>
        </w:rPr>
        <w:t>in the midst of it.</w:t>
      </w:r>
      <w:r>
        <w:rPr>
          <w:rFonts w:ascii="Garamond" w:hAnsi="Garamond"/>
          <w:bCs/>
        </w:rPr>
        <w:t xml:space="preserve"> However, </w:t>
      </w:r>
      <w:r w:rsidR="00107BA7">
        <w:rPr>
          <w:rFonts w:ascii="Garamond" w:hAnsi="Garamond"/>
          <w:bCs/>
        </w:rPr>
        <w:t xml:space="preserve">although </w:t>
      </w:r>
      <w:r>
        <w:rPr>
          <w:rFonts w:ascii="Garamond" w:hAnsi="Garamond"/>
          <w:bCs/>
        </w:rPr>
        <w:t xml:space="preserve">the whole world shares the effects of this situation, experiences differ across geography, nationality, socio-economic status, age, governmental response, </w:t>
      </w:r>
      <w:r w:rsidR="000375F1">
        <w:rPr>
          <w:rFonts w:ascii="Garamond" w:hAnsi="Garamond"/>
          <w:bCs/>
        </w:rPr>
        <w:t>and number of other factors</w:t>
      </w:r>
      <w:r w:rsidR="00351BE4">
        <w:rPr>
          <w:rFonts w:ascii="Garamond" w:hAnsi="Garamond"/>
          <w:bCs/>
        </w:rPr>
        <w:t xml:space="preserve">. </w:t>
      </w:r>
      <w:r w:rsidR="001F6873">
        <w:rPr>
          <w:rFonts w:ascii="Garamond" w:hAnsi="Garamond"/>
          <w:bCs/>
        </w:rPr>
        <w:t>So, answers to the question “What was it Like to Live Through That</w:t>
      </w:r>
      <w:r w:rsidR="004E07C7">
        <w:rPr>
          <w:rFonts w:ascii="Garamond" w:hAnsi="Garamond"/>
          <w:bCs/>
        </w:rPr>
        <w:t>?</w:t>
      </w:r>
      <w:r w:rsidR="001F6873">
        <w:rPr>
          <w:rFonts w:ascii="Garamond" w:hAnsi="Garamond"/>
          <w:bCs/>
        </w:rPr>
        <w:t>” might share a number of similarities but the</w:t>
      </w:r>
      <w:r w:rsidR="0058616B">
        <w:rPr>
          <w:rFonts w:ascii="Garamond" w:hAnsi="Garamond"/>
          <w:bCs/>
        </w:rPr>
        <w:t>y</w:t>
      </w:r>
      <w:r w:rsidR="001F6873">
        <w:rPr>
          <w:rFonts w:ascii="Garamond" w:hAnsi="Garamond"/>
          <w:bCs/>
        </w:rPr>
        <w:t xml:space="preserve"> would also indicate </w:t>
      </w:r>
      <w:r w:rsidR="0058616B">
        <w:rPr>
          <w:rFonts w:ascii="Garamond" w:hAnsi="Garamond"/>
          <w:bCs/>
        </w:rPr>
        <w:t>unique experiences of both individuals and groups</w:t>
      </w:r>
      <w:r w:rsidR="001F6873">
        <w:rPr>
          <w:rFonts w:ascii="Garamond" w:hAnsi="Garamond"/>
          <w:bCs/>
        </w:rPr>
        <w:t xml:space="preserve">. </w:t>
      </w:r>
      <w:r w:rsidR="00107BA7">
        <w:rPr>
          <w:rFonts w:ascii="Garamond" w:hAnsi="Garamond"/>
          <w:bCs/>
        </w:rPr>
        <w:t xml:space="preserve"> Thus, there’s what we might call a macroeconomic story about the </w:t>
      </w:r>
      <w:r w:rsidR="004E07C7">
        <w:rPr>
          <w:rFonts w:ascii="Garamond" w:hAnsi="Garamond"/>
          <w:bCs/>
        </w:rPr>
        <w:t xml:space="preserve">Coronavirus crisis and a number of microeconomic stories. </w:t>
      </w:r>
    </w:p>
    <w:p w14:paraId="28D201F4" w14:textId="77777777" w:rsidR="00351BE4" w:rsidRDefault="00351BE4" w:rsidP="00BF27C5">
      <w:pPr>
        <w:rPr>
          <w:rFonts w:ascii="Garamond" w:hAnsi="Garamond"/>
          <w:bCs/>
        </w:rPr>
      </w:pPr>
    </w:p>
    <w:p w14:paraId="1BDE5C5B" w14:textId="3C89CC93" w:rsidR="0096492A" w:rsidRDefault="00351BE4" w:rsidP="00BF27C5">
      <w:pPr>
        <w:rPr>
          <w:rFonts w:ascii="Garamond" w:hAnsi="Garamond"/>
          <w:bCs/>
        </w:rPr>
      </w:pPr>
      <w:r>
        <w:rPr>
          <w:rFonts w:ascii="Garamond" w:hAnsi="Garamond"/>
          <w:bCs/>
        </w:rPr>
        <w:t xml:space="preserve">And, this is true for any event that we might term apocalyptic. </w:t>
      </w:r>
      <w:r w:rsidR="00BF27C5">
        <w:rPr>
          <w:rFonts w:ascii="Garamond" w:hAnsi="Garamond"/>
          <w:bCs/>
        </w:rPr>
        <w:t xml:space="preserve">For this project, you will research a historical event that could be considered “apocalyptic” and create a multi-modal project (one that includes multiple forms of media: traditional print, images, videos, etc.) that focuses on some </w:t>
      </w:r>
      <w:r w:rsidR="00E31782">
        <w:rPr>
          <w:rFonts w:ascii="Garamond" w:hAnsi="Garamond"/>
          <w:bCs/>
        </w:rPr>
        <w:t xml:space="preserve">coverage of this event (in news media, personal accounts, and any other audio-visual forms).  </w:t>
      </w:r>
      <w:r w:rsidR="0096492A">
        <w:rPr>
          <w:rFonts w:ascii="Garamond" w:hAnsi="Garamond"/>
          <w:bCs/>
        </w:rPr>
        <w:t>Central to conceptualizing this project are the following questions:</w:t>
      </w:r>
    </w:p>
    <w:p w14:paraId="4D28CD02" w14:textId="77777777" w:rsidR="00BF27C5" w:rsidRDefault="00BF27C5" w:rsidP="00BF27C5">
      <w:pPr>
        <w:rPr>
          <w:rFonts w:ascii="Garamond" w:hAnsi="Garamond"/>
          <w:bCs/>
        </w:rPr>
      </w:pPr>
    </w:p>
    <w:p w14:paraId="1CAFDCCB" w14:textId="4ABC7C72" w:rsidR="0096492A" w:rsidRPr="00107BA7" w:rsidRDefault="001F6873" w:rsidP="0096492A">
      <w:pPr>
        <w:pStyle w:val="ListParagraph"/>
        <w:numPr>
          <w:ilvl w:val="0"/>
          <w:numId w:val="1"/>
        </w:numPr>
        <w:rPr>
          <w:rFonts w:ascii="Garamond" w:eastAsia="Times New Roman" w:hAnsi="Garamond"/>
        </w:rPr>
      </w:pPr>
      <w:r w:rsidRPr="00107BA7">
        <w:rPr>
          <w:rFonts w:ascii="Garamond" w:eastAsia="Times New Roman" w:hAnsi="Garamond"/>
        </w:rPr>
        <w:t xml:space="preserve">What was it like? </w:t>
      </w:r>
      <w:r w:rsidR="00A35941">
        <w:rPr>
          <w:rFonts w:ascii="Garamond" w:eastAsia="Times New Roman" w:hAnsi="Garamond"/>
        </w:rPr>
        <w:t>You’ll use this question for researching, reading, and viewing documentation of the event.</w:t>
      </w:r>
    </w:p>
    <w:p w14:paraId="236281F7" w14:textId="0D300203" w:rsidR="00107BA7" w:rsidRPr="00107BA7" w:rsidRDefault="001F6873" w:rsidP="0096492A">
      <w:pPr>
        <w:pStyle w:val="ListParagraph"/>
        <w:numPr>
          <w:ilvl w:val="0"/>
          <w:numId w:val="1"/>
        </w:numPr>
        <w:rPr>
          <w:rFonts w:ascii="Garamond" w:eastAsia="Times New Roman" w:hAnsi="Garamond"/>
        </w:rPr>
      </w:pPr>
      <w:r w:rsidRPr="00107BA7">
        <w:rPr>
          <w:rFonts w:ascii="Garamond" w:eastAsia="Times New Roman" w:hAnsi="Garamond"/>
        </w:rPr>
        <w:t>What stor</w:t>
      </w:r>
      <w:r w:rsidR="00A35941">
        <w:rPr>
          <w:rFonts w:ascii="Garamond" w:eastAsia="Times New Roman" w:hAnsi="Garamond"/>
        </w:rPr>
        <w:t>ies</w:t>
      </w:r>
      <w:r w:rsidRPr="00107BA7">
        <w:rPr>
          <w:rFonts w:ascii="Garamond" w:eastAsia="Times New Roman" w:hAnsi="Garamond"/>
        </w:rPr>
        <w:t xml:space="preserve"> do</w:t>
      </w:r>
      <w:r w:rsidR="0096492A" w:rsidRPr="00107BA7">
        <w:rPr>
          <w:rFonts w:ascii="Garamond" w:eastAsia="Times New Roman" w:hAnsi="Garamond"/>
        </w:rPr>
        <w:t xml:space="preserve">es documentation of this event </w:t>
      </w:r>
      <w:r w:rsidRPr="00107BA7">
        <w:rPr>
          <w:rFonts w:ascii="Garamond" w:eastAsia="Times New Roman" w:hAnsi="Garamond"/>
          <w:i/>
          <w:iCs/>
        </w:rPr>
        <w:t xml:space="preserve">tell or </w:t>
      </w:r>
      <w:r w:rsidRPr="00107BA7">
        <w:rPr>
          <w:rFonts w:ascii="Garamond" w:eastAsia="Times New Roman" w:hAnsi="Garamond"/>
          <w:i/>
          <w:iCs/>
          <w:u w:val="single"/>
        </w:rPr>
        <w:t>fail to tell</w:t>
      </w:r>
      <w:r w:rsidRPr="00107BA7">
        <w:rPr>
          <w:rFonts w:ascii="Garamond" w:eastAsia="Times New Roman" w:hAnsi="Garamond"/>
        </w:rPr>
        <w:t xml:space="preserve">? </w:t>
      </w:r>
      <w:r w:rsidR="00A35941">
        <w:rPr>
          <w:rFonts w:ascii="Garamond" w:eastAsia="Times New Roman" w:hAnsi="Garamond"/>
        </w:rPr>
        <w:t xml:space="preserve"> You will use this question for narrowing in on some approach to the event that you can relay through your project. You will want to identify a clear one.</w:t>
      </w:r>
    </w:p>
    <w:p w14:paraId="6AF6E2F7" w14:textId="61F74DA3" w:rsidR="00E31782" w:rsidRPr="00107BA7" w:rsidRDefault="00E31782" w:rsidP="0096492A">
      <w:pPr>
        <w:pStyle w:val="ListParagraph"/>
        <w:numPr>
          <w:ilvl w:val="0"/>
          <w:numId w:val="1"/>
        </w:numPr>
        <w:rPr>
          <w:rFonts w:ascii="Garamond" w:eastAsia="Times New Roman" w:hAnsi="Garamond"/>
        </w:rPr>
      </w:pPr>
      <w:r w:rsidRPr="00107BA7">
        <w:rPr>
          <w:rFonts w:ascii="Garamond" w:eastAsia="Times New Roman" w:hAnsi="Garamond"/>
        </w:rPr>
        <w:t xml:space="preserve">How do you tell a story in a multi-modal fashion about this </w:t>
      </w:r>
      <w:r w:rsidR="00107BA7">
        <w:rPr>
          <w:rFonts w:ascii="Garamond" w:eastAsia="Times New Roman" w:hAnsi="Garamond"/>
        </w:rPr>
        <w:t xml:space="preserve">documentation? </w:t>
      </w:r>
      <w:r w:rsidR="00A35941">
        <w:rPr>
          <w:rFonts w:ascii="Garamond" w:eastAsia="Times New Roman" w:hAnsi="Garamond"/>
        </w:rPr>
        <w:t xml:space="preserve">You will use this question to help you </w:t>
      </w:r>
      <w:r w:rsidR="00E54A3B">
        <w:rPr>
          <w:rFonts w:ascii="Garamond" w:eastAsia="Times New Roman" w:hAnsi="Garamond"/>
        </w:rPr>
        <w:t xml:space="preserve">decide on the best format for your own project. </w:t>
      </w:r>
      <w:r w:rsidR="00107BA7">
        <w:rPr>
          <w:rFonts w:ascii="Garamond" w:eastAsia="Times New Roman" w:hAnsi="Garamond"/>
        </w:rPr>
        <w:t>Y</w:t>
      </w:r>
      <w:r w:rsidRPr="00107BA7">
        <w:rPr>
          <w:rFonts w:ascii="Garamond" w:eastAsia="Times New Roman" w:hAnsi="Garamond"/>
        </w:rPr>
        <w:t>ou want your work to be a kind of narrative as well</w:t>
      </w:r>
      <w:r w:rsidR="00E54A3B">
        <w:rPr>
          <w:rFonts w:ascii="Garamond" w:eastAsia="Times New Roman" w:hAnsi="Garamond"/>
        </w:rPr>
        <w:t>.</w:t>
      </w:r>
    </w:p>
    <w:p w14:paraId="04CE5DFE" w14:textId="77777777" w:rsidR="00751982" w:rsidRDefault="00751982" w:rsidP="00BF27C5">
      <w:pPr>
        <w:rPr>
          <w:rFonts w:ascii="Garamond" w:hAnsi="Garamond"/>
          <w:bCs/>
        </w:rPr>
      </w:pPr>
    </w:p>
    <w:p w14:paraId="713A3C45" w14:textId="2C11F309" w:rsidR="00751982" w:rsidRPr="00751982" w:rsidRDefault="00751982" w:rsidP="00BF27C5">
      <w:pPr>
        <w:rPr>
          <w:rFonts w:ascii="Garamond" w:hAnsi="Garamond"/>
          <w:bCs/>
        </w:rPr>
      </w:pPr>
      <w:r>
        <w:rPr>
          <w:rFonts w:ascii="Garamond" w:hAnsi="Garamond"/>
          <w:bCs/>
        </w:rPr>
        <w:t xml:space="preserve">In general, keep in mind that you can’t tell the whole story of the event, so you want to pick something to focus on; what this is will undoubtedly depend on the coverage/documentation you </w:t>
      </w:r>
      <w:r w:rsidR="0022766E">
        <w:rPr>
          <w:rFonts w:ascii="Garamond" w:hAnsi="Garamond"/>
          <w:bCs/>
        </w:rPr>
        <w:t xml:space="preserve">encounter in your research. For instance, there was a very significant Chinese population in San Francisco in 1906, when an earthquake struck the city. How was the experience of this population covered or documented? To what extent was it? You might, however, find this is too broad and have to narrow even more. Perhaps you find that there’s some story to tell about rebuilding after the earthquake and this population. </w:t>
      </w:r>
    </w:p>
    <w:p w14:paraId="206510FB" w14:textId="77777777" w:rsidR="00751982" w:rsidRDefault="00751982" w:rsidP="00BF27C5">
      <w:pPr>
        <w:rPr>
          <w:rFonts w:ascii="Garamond" w:hAnsi="Garamond"/>
          <w:b/>
        </w:rPr>
      </w:pPr>
    </w:p>
    <w:p w14:paraId="5325C7E4" w14:textId="77777777" w:rsidR="00E54A3B" w:rsidRDefault="00E54A3B" w:rsidP="00E54A3B">
      <w:pPr>
        <w:rPr>
          <w:rFonts w:ascii="Garamond" w:hAnsi="Garamond"/>
          <w:b/>
        </w:rPr>
      </w:pPr>
      <w:r>
        <w:rPr>
          <w:rFonts w:ascii="Garamond" w:hAnsi="Garamond"/>
          <w:b/>
        </w:rPr>
        <w:t>Event Choice:</w:t>
      </w:r>
    </w:p>
    <w:p w14:paraId="11D8449C" w14:textId="7C52C764" w:rsidR="00E54A3B" w:rsidRDefault="00E54A3B" w:rsidP="00E54A3B">
      <w:pPr>
        <w:ind w:left="720"/>
        <w:rPr>
          <w:rFonts w:ascii="Garamond" w:hAnsi="Garamond"/>
          <w:bCs/>
        </w:rPr>
      </w:pPr>
      <w:r w:rsidRPr="00E54A3B">
        <w:rPr>
          <w:rFonts w:ascii="Garamond" w:hAnsi="Garamond"/>
          <w:bCs/>
          <w:u w:val="single"/>
        </w:rPr>
        <w:t>Limits:</w:t>
      </w:r>
      <w:r>
        <w:rPr>
          <w:rFonts w:ascii="Garamond" w:hAnsi="Garamond"/>
          <w:b/>
        </w:rPr>
        <w:t xml:space="preserve"> </w:t>
      </w:r>
      <w:r>
        <w:rPr>
          <w:rFonts w:ascii="Garamond" w:hAnsi="Garamond"/>
          <w:bCs/>
        </w:rPr>
        <w:t xml:space="preserve">Since one of the goals of </w:t>
      </w:r>
      <w:r w:rsidR="00700D1B">
        <w:rPr>
          <w:rFonts w:ascii="Garamond" w:hAnsi="Garamond"/>
          <w:bCs/>
        </w:rPr>
        <w:t>ENG 3080J</w:t>
      </w:r>
      <w:r>
        <w:rPr>
          <w:rFonts w:ascii="Garamond" w:hAnsi="Garamond"/>
          <w:bCs/>
        </w:rPr>
        <w:t xml:space="preserve"> is to have you do research in a number of different databases, your choice of event is going to be limited in terms of time period both to accommodate the databases we will be using and to ensure your event is covered adequately in those resources. </w:t>
      </w:r>
      <w:r w:rsidR="00BF4470">
        <w:rPr>
          <w:rFonts w:ascii="Garamond" w:hAnsi="Garamond"/>
          <w:bCs/>
        </w:rPr>
        <w:t xml:space="preserve">Thus, you may choose an event that occurred </w:t>
      </w:r>
      <w:r w:rsidR="00BF4470" w:rsidRPr="00BF4470">
        <w:rPr>
          <w:rFonts w:ascii="Garamond" w:hAnsi="Garamond"/>
          <w:bCs/>
          <w:shd w:val="clear" w:color="auto" w:fill="FFFF00"/>
        </w:rPr>
        <w:t xml:space="preserve">between </w:t>
      </w:r>
      <w:r w:rsidR="00BF4470">
        <w:rPr>
          <w:rFonts w:ascii="Garamond" w:hAnsi="Garamond"/>
          <w:bCs/>
          <w:shd w:val="clear" w:color="auto" w:fill="FFFF00"/>
        </w:rPr>
        <w:t xml:space="preserve">the years </w:t>
      </w:r>
      <w:r w:rsidR="00BF4470" w:rsidRPr="00BF4470">
        <w:rPr>
          <w:rFonts w:ascii="Garamond" w:hAnsi="Garamond"/>
          <w:bCs/>
          <w:shd w:val="clear" w:color="auto" w:fill="FFFF00"/>
        </w:rPr>
        <w:t>1800 and 1990.</w:t>
      </w:r>
      <w:r w:rsidR="00BF4470">
        <w:rPr>
          <w:rFonts w:ascii="Garamond" w:hAnsi="Garamond"/>
          <w:bCs/>
        </w:rPr>
        <w:t xml:space="preserve"> </w:t>
      </w:r>
    </w:p>
    <w:p w14:paraId="3A8FE6AC" w14:textId="3D911632" w:rsidR="00BF4470" w:rsidRDefault="00BF4470" w:rsidP="00E54A3B">
      <w:pPr>
        <w:ind w:left="720"/>
        <w:rPr>
          <w:rFonts w:ascii="Garamond" w:hAnsi="Garamond"/>
          <w:bCs/>
        </w:rPr>
      </w:pPr>
    </w:p>
    <w:p w14:paraId="5661023F" w14:textId="001785A8" w:rsidR="00BF4470" w:rsidRPr="00823C85" w:rsidRDefault="00BF4470" w:rsidP="00823C85">
      <w:pPr>
        <w:ind w:left="720"/>
        <w:rPr>
          <w:rFonts w:ascii="Garamond" w:eastAsia="Times New Roman" w:hAnsi="Garamond"/>
        </w:rPr>
      </w:pPr>
      <w:r w:rsidRPr="00823C85">
        <w:rPr>
          <w:rFonts w:ascii="Garamond" w:hAnsi="Garamond"/>
          <w:bCs/>
          <w:u w:val="single"/>
          <w:shd w:val="clear" w:color="auto" w:fill="FFFF00"/>
        </w:rPr>
        <w:lastRenderedPageBreak/>
        <w:t>Event List</w:t>
      </w:r>
      <w:r w:rsidRPr="00823C85">
        <w:rPr>
          <w:rFonts w:ascii="Garamond" w:hAnsi="Garamond"/>
          <w:bCs/>
          <w:u w:val="single"/>
        </w:rPr>
        <w:t>:</w:t>
      </w:r>
      <w:r w:rsidRPr="00823C85">
        <w:rPr>
          <w:rFonts w:ascii="Garamond" w:hAnsi="Garamond"/>
          <w:bCs/>
        </w:rPr>
        <w:t xml:space="preserve"> I have provided a list of appropriate events at the end of this assignment to give you an idea of the type of event you should address. </w:t>
      </w:r>
      <w:r w:rsidR="00823C85" w:rsidRPr="00823C85">
        <w:rPr>
          <w:rFonts w:ascii="Garamond" w:hAnsi="Garamond"/>
          <w:bCs/>
        </w:rPr>
        <w:t xml:space="preserve">If you want to explore other options, check out </w:t>
      </w:r>
      <w:hyperlink r:id="rId5" w:history="1">
        <w:r w:rsidR="00823C85" w:rsidRPr="00823C85">
          <w:rPr>
            <w:rFonts w:ascii="Garamond" w:eastAsia="Times New Roman" w:hAnsi="Garamond"/>
            <w:color w:val="0000FF"/>
            <w:u w:val="single"/>
          </w:rPr>
          <w:t>https://en.wikipedia.org/wiki/Lists_of_disasters</w:t>
        </w:r>
      </w:hyperlink>
      <w:r w:rsidR="00823C85">
        <w:rPr>
          <w:rFonts w:ascii="Garamond" w:eastAsia="Times New Roman" w:hAnsi="Garamond"/>
        </w:rPr>
        <w:t xml:space="preserve">. </w:t>
      </w:r>
      <w:r w:rsidR="00823C85" w:rsidRPr="00823C85">
        <w:rPr>
          <w:rFonts w:ascii="Garamond" w:hAnsi="Garamond"/>
          <w:bCs/>
        </w:rPr>
        <w:t xml:space="preserve">Not all the ones listed here will be suitable for the assignment, however.  </w:t>
      </w:r>
      <w:r w:rsidR="00823C85" w:rsidRPr="00823C85">
        <w:rPr>
          <w:rFonts w:ascii="Garamond" w:hAnsi="Garamond"/>
          <w:bCs/>
          <w:u w:val="single"/>
        </w:rPr>
        <w:t>If you choose one not on this list</w:t>
      </w:r>
      <w:r w:rsidR="00823C85" w:rsidRPr="00823C85">
        <w:rPr>
          <w:rFonts w:ascii="Garamond" w:hAnsi="Garamond"/>
          <w:bCs/>
        </w:rPr>
        <w:t>, run it by me first.</w:t>
      </w:r>
    </w:p>
    <w:p w14:paraId="540516E7" w14:textId="45B4E420" w:rsidR="00E54A3B" w:rsidRDefault="00E54A3B" w:rsidP="00BF27C5">
      <w:pPr>
        <w:rPr>
          <w:rFonts w:ascii="Garamond" w:hAnsi="Garamond"/>
          <w:b/>
        </w:rPr>
      </w:pPr>
    </w:p>
    <w:p w14:paraId="0C36D519" w14:textId="36D63D94" w:rsidR="00BF27C5" w:rsidRDefault="00E54A3B" w:rsidP="00BF27C5">
      <w:pPr>
        <w:rPr>
          <w:rFonts w:ascii="Garamond" w:hAnsi="Garamond"/>
          <w:bCs/>
        </w:rPr>
      </w:pPr>
      <w:r w:rsidRPr="00E54A3B">
        <w:rPr>
          <w:rFonts w:ascii="Garamond" w:hAnsi="Garamond"/>
          <w:b/>
        </w:rPr>
        <w:t>Research</w:t>
      </w:r>
      <w:r>
        <w:rPr>
          <w:rFonts w:ascii="Garamond" w:hAnsi="Garamond"/>
          <w:bCs/>
        </w:rPr>
        <w:t>:</w:t>
      </w:r>
    </w:p>
    <w:p w14:paraId="0A781CC1" w14:textId="35B566BA" w:rsidR="00E54A3B" w:rsidRDefault="00BF4470" w:rsidP="00BF4470">
      <w:pPr>
        <w:ind w:left="720"/>
        <w:rPr>
          <w:rFonts w:ascii="Garamond" w:hAnsi="Garamond"/>
          <w:bCs/>
        </w:rPr>
      </w:pPr>
      <w:r w:rsidRPr="00BF4470">
        <w:rPr>
          <w:rFonts w:ascii="Garamond" w:hAnsi="Garamond"/>
          <w:bCs/>
          <w:u w:val="single"/>
        </w:rPr>
        <w:t>Historical Databases</w:t>
      </w:r>
      <w:r>
        <w:rPr>
          <w:rFonts w:ascii="Garamond" w:hAnsi="Garamond"/>
          <w:bCs/>
        </w:rPr>
        <w:t>: We will explore a number of different historical databases accessible via OU’s library and more generally online.</w:t>
      </w:r>
    </w:p>
    <w:p w14:paraId="5AC5730E" w14:textId="5ABC7C7E" w:rsidR="00BF27C5" w:rsidRDefault="00BF27C5" w:rsidP="00BF27C5">
      <w:pPr>
        <w:rPr>
          <w:rFonts w:ascii="Garamond" w:hAnsi="Garamond"/>
          <w:b/>
        </w:rPr>
      </w:pPr>
    </w:p>
    <w:p w14:paraId="0C00C3B9" w14:textId="746AECA8" w:rsidR="00BF4470" w:rsidRDefault="00BF4470" w:rsidP="00BF4470">
      <w:pPr>
        <w:ind w:left="720"/>
        <w:rPr>
          <w:rFonts w:ascii="Garamond" w:hAnsi="Garamond"/>
          <w:bCs/>
        </w:rPr>
      </w:pPr>
      <w:r w:rsidRPr="00BF4470">
        <w:rPr>
          <w:rFonts w:ascii="Garamond" w:hAnsi="Garamond"/>
          <w:bCs/>
          <w:u w:val="single"/>
        </w:rPr>
        <w:t>Scholarly Research</w:t>
      </w:r>
      <w:r>
        <w:rPr>
          <w:rFonts w:ascii="Garamond" w:hAnsi="Garamond"/>
          <w:b/>
        </w:rPr>
        <w:t xml:space="preserve">: </w:t>
      </w:r>
      <w:r>
        <w:rPr>
          <w:rFonts w:ascii="Garamond" w:hAnsi="Garamond"/>
          <w:bCs/>
        </w:rPr>
        <w:t>The Annotated Bibliography (related but individual assignment) you complete will be of scholarly sources that address your event</w:t>
      </w:r>
      <w:r w:rsidR="00823C85">
        <w:rPr>
          <w:rFonts w:ascii="Garamond" w:hAnsi="Garamond"/>
          <w:bCs/>
        </w:rPr>
        <w:t>, some of which you will want to incorporate into your project</w:t>
      </w:r>
      <w:r>
        <w:rPr>
          <w:rFonts w:ascii="Garamond" w:hAnsi="Garamond"/>
          <w:bCs/>
        </w:rPr>
        <w:t xml:space="preserve">. Again, we will look at multiple ways to research for such sources. </w:t>
      </w:r>
    </w:p>
    <w:p w14:paraId="6B8C22AD" w14:textId="7A1B36A3" w:rsidR="00823C85" w:rsidRDefault="00823C85" w:rsidP="00BF27C5">
      <w:pPr>
        <w:rPr>
          <w:rFonts w:ascii="Garamond" w:hAnsi="Garamond"/>
          <w:bCs/>
        </w:rPr>
      </w:pPr>
    </w:p>
    <w:p w14:paraId="7359AD03" w14:textId="5DC742C8" w:rsidR="00823C85" w:rsidRDefault="00823C85" w:rsidP="00823C85">
      <w:pPr>
        <w:ind w:left="720" w:hanging="720"/>
        <w:rPr>
          <w:rFonts w:ascii="Garamond" w:hAnsi="Garamond"/>
          <w:bCs/>
          <w:u w:val="single"/>
        </w:rPr>
      </w:pPr>
      <w:r>
        <w:rPr>
          <w:rFonts w:ascii="Garamond" w:hAnsi="Garamond"/>
          <w:bCs/>
        </w:rPr>
        <w:tab/>
      </w:r>
      <w:r w:rsidRPr="00823C85">
        <w:rPr>
          <w:rFonts w:ascii="Garamond" w:hAnsi="Garamond"/>
          <w:bCs/>
          <w:u w:val="single"/>
        </w:rPr>
        <w:t>Minimum</w:t>
      </w:r>
      <w:r>
        <w:rPr>
          <w:rFonts w:ascii="Garamond" w:hAnsi="Garamond"/>
          <w:bCs/>
        </w:rPr>
        <w:t xml:space="preserve"> </w:t>
      </w:r>
      <w:r w:rsidRPr="00823C85">
        <w:rPr>
          <w:rFonts w:ascii="Garamond" w:hAnsi="Garamond"/>
          <w:bCs/>
          <w:u w:val="single"/>
        </w:rPr>
        <w:t>REQUIREMENTS</w:t>
      </w:r>
      <w:r w:rsidRPr="00823C85">
        <w:rPr>
          <w:rFonts w:ascii="Garamond" w:hAnsi="Garamond"/>
          <w:bCs/>
        </w:rPr>
        <w:t>:</w:t>
      </w:r>
      <w:r>
        <w:rPr>
          <w:rFonts w:ascii="Garamond" w:hAnsi="Garamond"/>
          <w:bCs/>
          <w:u w:val="single"/>
        </w:rPr>
        <w:t xml:space="preserve"> </w:t>
      </w:r>
      <w:r w:rsidR="00FD5C4C" w:rsidRPr="00823C85">
        <w:rPr>
          <w:rFonts w:ascii="Garamond" w:hAnsi="Garamond"/>
          <w:bCs/>
        </w:rPr>
        <w:t>Your project will need to incorporate</w:t>
      </w:r>
    </w:p>
    <w:p w14:paraId="406512CC" w14:textId="5EF09777" w:rsidR="00823C85" w:rsidRDefault="00823C85" w:rsidP="00823C85">
      <w:pPr>
        <w:pStyle w:val="ListParagraph"/>
        <w:numPr>
          <w:ilvl w:val="0"/>
          <w:numId w:val="2"/>
        </w:numPr>
        <w:rPr>
          <w:rFonts w:ascii="Garamond" w:hAnsi="Garamond"/>
          <w:bCs/>
        </w:rPr>
      </w:pPr>
      <w:r w:rsidRPr="00823C85">
        <w:rPr>
          <w:rFonts w:ascii="Garamond" w:hAnsi="Garamond"/>
          <w:bCs/>
        </w:rPr>
        <w:t xml:space="preserve">a combination of </w:t>
      </w:r>
      <w:r w:rsidRPr="00FD5C4C">
        <w:rPr>
          <w:rFonts w:ascii="Garamond" w:hAnsi="Garamond"/>
          <w:bCs/>
        </w:rPr>
        <w:t xml:space="preserve">at </w:t>
      </w:r>
      <w:r w:rsidRPr="007E0946">
        <w:rPr>
          <w:rFonts w:ascii="Garamond" w:hAnsi="Garamond"/>
          <w:b/>
        </w:rPr>
        <w:t>least two</w:t>
      </w:r>
      <w:r w:rsidRPr="00823C85">
        <w:rPr>
          <w:rFonts w:ascii="Garamond" w:hAnsi="Garamond"/>
          <w:bCs/>
        </w:rPr>
        <w:t xml:space="preserve"> of the following: </w:t>
      </w:r>
      <w:r>
        <w:rPr>
          <w:rFonts w:ascii="Garamond" w:hAnsi="Garamond"/>
          <w:bCs/>
        </w:rPr>
        <w:t xml:space="preserve">print, audio, </w:t>
      </w:r>
      <w:r w:rsidRPr="00823C85">
        <w:rPr>
          <w:rFonts w:ascii="Garamond" w:hAnsi="Garamond"/>
          <w:bCs/>
        </w:rPr>
        <w:t>visual</w:t>
      </w:r>
      <w:r w:rsidR="00FD5C4C">
        <w:rPr>
          <w:rFonts w:ascii="Garamond" w:hAnsi="Garamond"/>
          <w:bCs/>
        </w:rPr>
        <w:t>, audio-visual</w:t>
      </w:r>
    </w:p>
    <w:p w14:paraId="4EEF90F6" w14:textId="20C20E35" w:rsidR="00FD5C4C" w:rsidRPr="00FD5C4C" w:rsidRDefault="00FD5C4C" w:rsidP="00FD5C4C">
      <w:pPr>
        <w:pStyle w:val="ListParagraph"/>
        <w:numPr>
          <w:ilvl w:val="1"/>
          <w:numId w:val="2"/>
        </w:numPr>
        <w:rPr>
          <w:rFonts w:ascii="Garamond" w:hAnsi="Garamond"/>
          <w:bCs/>
        </w:rPr>
      </w:pPr>
      <w:r>
        <w:rPr>
          <w:rFonts w:ascii="Garamond" w:hAnsi="Garamond"/>
          <w:bCs/>
        </w:rPr>
        <w:t>for the purposes of the assignment, images of historical print sources will count as visual, but I encourage you to consider other visual sources.</w:t>
      </w:r>
    </w:p>
    <w:p w14:paraId="08040E41" w14:textId="379132B2" w:rsidR="00FD5C4C" w:rsidRPr="00823C85" w:rsidRDefault="00FD5C4C" w:rsidP="00823C85">
      <w:pPr>
        <w:pStyle w:val="ListParagraph"/>
        <w:numPr>
          <w:ilvl w:val="0"/>
          <w:numId w:val="2"/>
        </w:numPr>
        <w:rPr>
          <w:rFonts w:ascii="Garamond" w:hAnsi="Garamond"/>
          <w:bCs/>
        </w:rPr>
      </w:pPr>
      <w:r w:rsidRPr="007E0946">
        <w:rPr>
          <w:rFonts w:ascii="Garamond" w:hAnsi="Garamond"/>
          <w:b/>
        </w:rPr>
        <w:t>at least seven</w:t>
      </w:r>
      <w:r>
        <w:rPr>
          <w:rFonts w:ascii="Garamond" w:hAnsi="Garamond"/>
          <w:bCs/>
        </w:rPr>
        <w:t xml:space="preserve"> historical sources (these can be in any form)</w:t>
      </w:r>
      <w:r w:rsidR="007E0946">
        <w:rPr>
          <w:rFonts w:ascii="Garamond" w:hAnsi="Garamond"/>
          <w:bCs/>
        </w:rPr>
        <w:t xml:space="preserve">. This area can raise questions, but a </w:t>
      </w:r>
      <w:r w:rsidR="007E0946" w:rsidRPr="007E0946">
        <w:rPr>
          <w:rFonts w:ascii="Garamond" w:hAnsi="Garamond"/>
          <w:bCs/>
          <w:u w:val="single"/>
        </w:rPr>
        <w:t>general rule would be something like this</w:t>
      </w:r>
      <w:r w:rsidR="007E0946">
        <w:rPr>
          <w:rFonts w:ascii="Garamond" w:hAnsi="Garamond"/>
          <w:bCs/>
        </w:rPr>
        <w:t xml:space="preserve">: seven articles or images from the same edition of a newspaper would not count as seven sources. Seven articles and/or images from seven editions of the same newspaper could, but if they show a developing story about the event. In general, </w:t>
      </w:r>
      <w:r w:rsidR="007E0946" w:rsidRPr="007E0946">
        <w:rPr>
          <w:rFonts w:ascii="Garamond" w:hAnsi="Garamond"/>
          <w:bCs/>
          <w:u w:val="single"/>
        </w:rPr>
        <w:t>if you have questions about your specific project ask me early</w:t>
      </w:r>
      <w:r w:rsidR="007E0946">
        <w:rPr>
          <w:rFonts w:ascii="Garamond" w:hAnsi="Garamond"/>
          <w:bCs/>
        </w:rPr>
        <w:t xml:space="preserve">. </w:t>
      </w:r>
    </w:p>
    <w:p w14:paraId="010C0BB9" w14:textId="3935C5C3" w:rsidR="00823C85" w:rsidRPr="00823C85" w:rsidRDefault="00823C85" w:rsidP="00823C85">
      <w:pPr>
        <w:pStyle w:val="ListParagraph"/>
        <w:numPr>
          <w:ilvl w:val="0"/>
          <w:numId w:val="2"/>
        </w:numPr>
        <w:rPr>
          <w:rFonts w:ascii="Garamond" w:hAnsi="Garamond"/>
          <w:bCs/>
        </w:rPr>
      </w:pPr>
      <w:r w:rsidRPr="007E0946">
        <w:rPr>
          <w:rFonts w:ascii="Garamond" w:hAnsi="Garamond"/>
          <w:b/>
        </w:rPr>
        <w:t>at least one</w:t>
      </w:r>
      <w:r w:rsidRPr="00823C85">
        <w:rPr>
          <w:rFonts w:ascii="Garamond" w:hAnsi="Garamond"/>
          <w:bCs/>
        </w:rPr>
        <w:t xml:space="preserve"> scholarly source.</w:t>
      </w:r>
    </w:p>
    <w:p w14:paraId="1564D943" w14:textId="77777777" w:rsidR="00823C85" w:rsidRPr="00823C85" w:rsidRDefault="00823C85" w:rsidP="00BF27C5">
      <w:pPr>
        <w:rPr>
          <w:rFonts w:ascii="Garamond" w:hAnsi="Garamond"/>
          <w:bCs/>
        </w:rPr>
      </w:pPr>
    </w:p>
    <w:p w14:paraId="02EC4926" w14:textId="41E858CF" w:rsidR="00BF27C5" w:rsidRPr="00BF27C5" w:rsidRDefault="00BF27C5" w:rsidP="00BF27C5">
      <w:pPr>
        <w:rPr>
          <w:rFonts w:ascii="Garamond" w:hAnsi="Garamond"/>
        </w:rPr>
      </w:pPr>
      <w:r w:rsidRPr="00BF27C5">
        <w:rPr>
          <w:rFonts w:ascii="Garamond" w:hAnsi="Garamond"/>
          <w:b/>
        </w:rPr>
        <w:t>Format:</w:t>
      </w:r>
      <w:r w:rsidRPr="00BF27C5">
        <w:rPr>
          <w:rFonts w:ascii="Garamond" w:hAnsi="Garamond"/>
        </w:rPr>
        <w:t xml:space="preserve"> This will depend on your choice of format. </w:t>
      </w:r>
      <w:r w:rsidR="00823C85">
        <w:rPr>
          <w:rFonts w:ascii="Garamond" w:hAnsi="Garamond"/>
        </w:rPr>
        <w:t>Choose something that works best for your materials.</w:t>
      </w:r>
    </w:p>
    <w:p w14:paraId="32108074" w14:textId="3E1CA1FB" w:rsidR="00BF27C5" w:rsidRPr="00BF27C5" w:rsidRDefault="00BF27C5" w:rsidP="00BF27C5">
      <w:pPr>
        <w:rPr>
          <w:rFonts w:ascii="Garamond" w:hAnsi="Garamond"/>
        </w:rPr>
      </w:pPr>
    </w:p>
    <w:p w14:paraId="1FD0FEEE" w14:textId="673156F6" w:rsidR="0044688D" w:rsidRPr="00BF27C5" w:rsidRDefault="00BF27C5" w:rsidP="0044688D">
      <w:pPr>
        <w:rPr>
          <w:rFonts w:ascii="Garamond" w:hAnsi="Garamond"/>
        </w:rPr>
      </w:pPr>
      <w:r w:rsidRPr="00BF27C5">
        <w:rPr>
          <w:rFonts w:ascii="Garamond" w:hAnsi="Garamond"/>
          <w:b/>
          <w:bCs/>
        </w:rPr>
        <w:t>Documentation</w:t>
      </w:r>
      <w:r w:rsidRPr="00BF27C5">
        <w:rPr>
          <w:rFonts w:ascii="Garamond" w:hAnsi="Garamond"/>
        </w:rPr>
        <w:t>:  All sources should be documented according to instructional guidelines provided in video lectures.  A “Works Cited” (MLA) or “References” page (APA) needs to be included at the end of the project.</w:t>
      </w:r>
    </w:p>
    <w:p w14:paraId="6AE206E3" w14:textId="7C2F2567" w:rsidR="00BF27C5" w:rsidRPr="00BF27C5" w:rsidRDefault="00BF27C5" w:rsidP="0044688D">
      <w:pPr>
        <w:rPr>
          <w:rFonts w:ascii="Garamond" w:hAnsi="Garamond"/>
        </w:rPr>
      </w:pPr>
    </w:p>
    <w:p w14:paraId="37BAD2D6" w14:textId="66718608" w:rsidR="00BF27C5" w:rsidRPr="00BF27C5" w:rsidRDefault="00BF27C5" w:rsidP="0044688D">
      <w:pPr>
        <w:rPr>
          <w:rFonts w:ascii="Garamond" w:hAnsi="Garamond"/>
        </w:rPr>
      </w:pPr>
      <w:r w:rsidRPr="00BF27C5">
        <w:rPr>
          <w:rFonts w:ascii="Garamond" w:hAnsi="Garamond"/>
          <w:b/>
          <w:bCs/>
        </w:rPr>
        <w:t>Length</w:t>
      </w:r>
      <w:r w:rsidRPr="00BF27C5">
        <w:rPr>
          <w:rFonts w:ascii="Garamond" w:hAnsi="Garamond"/>
        </w:rPr>
        <w:t xml:space="preserve">: This is difficult to identify since formats and materials will vary. However, </w:t>
      </w:r>
      <w:r w:rsidR="004703E1">
        <w:rPr>
          <w:rFonts w:ascii="Garamond" w:hAnsi="Garamond"/>
        </w:rPr>
        <w:t xml:space="preserve">how you are putting the research materials together should be made clear by </w:t>
      </w:r>
      <w:r w:rsidR="004703E1" w:rsidRPr="00794B06">
        <w:rPr>
          <w:rFonts w:ascii="Garamond" w:hAnsi="Garamond"/>
          <w:u w:val="single"/>
        </w:rPr>
        <w:t>your own written words</w:t>
      </w:r>
      <w:r w:rsidR="00A04C63">
        <w:rPr>
          <w:rFonts w:ascii="Garamond" w:hAnsi="Garamond"/>
          <w:u w:val="single"/>
        </w:rPr>
        <w:t xml:space="preserve"> (if you want to narrate a slide show or video you create, then please provide a transcription of the narration)</w:t>
      </w:r>
      <w:r w:rsidR="004703E1">
        <w:rPr>
          <w:rFonts w:ascii="Garamond" w:hAnsi="Garamond"/>
        </w:rPr>
        <w:t xml:space="preserve">. That is, explicitly tell us the story these materials </w:t>
      </w:r>
      <w:r w:rsidR="00794B06">
        <w:rPr>
          <w:rFonts w:ascii="Garamond" w:hAnsi="Garamond"/>
        </w:rPr>
        <w:t>provide</w:t>
      </w:r>
      <w:r w:rsidR="004703E1">
        <w:rPr>
          <w:rFonts w:ascii="Garamond" w:hAnsi="Garamond"/>
        </w:rPr>
        <w:t xml:space="preserve">. </w:t>
      </w:r>
      <w:r w:rsidR="00794B06">
        <w:rPr>
          <w:rFonts w:ascii="Garamond" w:hAnsi="Garamond"/>
        </w:rPr>
        <w:t xml:space="preserve">Simply providing historical and research sources without any commentary from you will not be sufficient. </w:t>
      </w:r>
      <w:r w:rsidR="004703E1">
        <w:rPr>
          <w:rFonts w:ascii="Garamond" w:hAnsi="Garamond"/>
        </w:rPr>
        <w:t>G</w:t>
      </w:r>
      <w:r w:rsidR="00E20FBA">
        <w:rPr>
          <w:rFonts w:ascii="Garamond" w:hAnsi="Garamond"/>
        </w:rPr>
        <w:t xml:space="preserve">iven whatever your focus is, you should </w:t>
      </w:r>
      <w:r w:rsidR="009C54F5">
        <w:rPr>
          <w:rFonts w:ascii="Garamond" w:hAnsi="Garamond"/>
        </w:rPr>
        <w:t>provide ample coverage</w:t>
      </w:r>
      <w:r w:rsidR="00E20FBA">
        <w:rPr>
          <w:rFonts w:ascii="Garamond" w:hAnsi="Garamond"/>
        </w:rPr>
        <w:t>. Again, think of it like a narrative: “A lot of people died during the epidemic</w:t>
      </w:r>
      <w:r w:rsidR="00A04C63">
        <w:rPr>
          <w:rFonts w:ascii="Garamond" w:hAnsi="Garamond"/>
        </w:rPr>
        <w:t xml:space="preserve"> and here are some sources that show this” </w:t>
      </w:r>
      <w:r w:rsidR="00E20FBA">
        <w:rPr>
          <w:rFonts w:ascii="Garamond" w:hAnsi="Garamond"/>
        </w:rPr>
        <w:t xml:space="preserve">is a narrative but doesn’t tell </w:t>
      </w:r>
      <w:r w:rsidR="00A04C63">
        <w:rPr>
          <w:rFonts w:ascii="Garamond" w:hAnsi="Garamond"/>
        </w:rPr>
        <w:t>us</w:t>
      </w:r>
      <w:r w:rsidR="00E20FBA">
        <w:rPr>
          <w:rFonts w:ascii="Garamond" w:hAnsi="Garamond"/>
        </w:rPr>
        <w:t xml:space="preserve"> much</w:t>
      </w:r>
      <w:r w:rsidR="00CB6EA8">
        <w:rPr>
          <w:rFonts w:ascii="Garamond" w:hAnsi="Garamond"/>
        </w:rPr>
        <w:t xml:space="preserve"> that we probably didn’t already know or fathom</w:t>
      </w:r>
      <w:r w:rsidR="00E20FBA">
        <w:rPr>
          <w:rFonts w:ascii="Garamond" w:hAnsi="Garamond"/>
        </w:rPr>
        <w:t>.</w:t>
      </w:r>
    </w:p>
    <w:p w14:paraId="761EF277" w14:textId="77777777" w:rsidR="0044688D" w:rsidRPr="00BF27C5" w:rsidRDefault="0044688D" w:rsidP="0044688D">
      <w:pPr>
        <w:rPr>
          <w:rFonts w:ascii="Garamond" w:hAnsi="Garamond"/>
          <w:b/>
        </w:rPr>
      </w:pPr>
    </w:p>
    <w:p w14:paraId="6B5750D4" w14:textId="2FD0BE3D" w:rsidR="0044688D" w:rsidRPr="00BF27C5" w:rsidRDefault="0044688D" w:rsidP="0044688D">
      <w:pPr>
        <w:rPr>
          <w:rFonts w:ascii="Garamond" w:hAnsi="Garamond"/>
        </w:rPr>
      </w:pPr>
      <w:r w:rsidRPr="00BF27C5">
        <w:rPr>
          <w:rFonts w:ascii="Garamond" w:hAnsi="Garamond"/>
          <w:b/>
        </w:rPr>
        <w:t>Due dates</w:t>
      </w:r>
      <w:r w:rsidRPr="00BF27C5">
        <w:rPr>
          <w:rFonts w:ascii="Garamond" w:hAnsi="Garamond"/>
        </w:rPr>
        <w:t>:</w:t>
      </w:r>
    </w:p>
    <w:p w14:paraId="0FC4B59A" w14:textId="77777777" w:rsidR="0044688D" w:rsidRPr="00BF27C5" w:rsidRDefault="0044688D" w:rsidP="0044688D">
      <w:pPr>
        <w:rPr>
          <w:rFonts w:ascii="Garamond" w:hAnsi="Garamond"/>
        </w:rPr>
      </w:pPr>
    </w:p>
    <w:p w14:paraId="38378AC6" w14:textId="68C606DF" w:rsidR="0044688D" w:rsidRPr="00BF27C5" w:rsidRDefault="0044688D" w:rsidP="0044688D">
      <w:pPr>
        <w:ind w:left="720"/>
        <w:rPr>
          <w:rFonts w:ascii="Garamond" w:hAnsi="Garamond"/>
        </w:rPr>
      </w:pPr>
      <w:r w:rsidRPr="00BF27C5">
        <w:rPr>
          <w:rFonts w:ascii="Garamond" w:hAnsi="Garamond"/>
          <w:b/>
        </w:rPr>
        <w:t>Friday, April 10 by midnight</w:t>
      </w:r>
      <w:r w:rsidRPr="00BF27C5">
        <w:rPr>
          <w:rFonts w:ascii="Garamond" w:hAnsi="Garamond"/>
        </w:rPr>
        <w:t>:  Annotated Bibliography</w:t>
      </w:r>
      <w:r w:rsidR="009C54F5">
        <w:rPr>
          <w:rFonts w:ascii="Garamond" w:hAnsi="Garamond"/>
        </w:rPr>
        <w:t xml:space="preserve"> (see separate assignment)</w:t>
      </w:r>
      <w:r w:rsidRPr="00BF27C5">
        <w:rPr>
          <w:rFonts w:ascii="Garamond" w:hAnsi="Garamond"/>
        </w:rPr>
        <w:t>; post to Blackboard assignment</w:t>
      </w:r>
    </w:p>
    <w:p w14:paraId="63650769" w14:textId="77777777" w:rsidR="0044688D" w:rsidRPr="00BF27C5" w:rsidRDefault="0044688D" w:rsidP="0044688D">
      <w:pPr>
        <w:ind w:left="720"/>
        <w:rPr>
          <w:rFonts w:ascii="Garamond" w:hAnsi="Garamond"/>
        </w:rPr>
      </w:pPr>
    </w:p>
    <w:p w14:paraId="08778DAB" w14:textId="496F498A" w:rsidR="0044688D" w:rsidRPr="00BF27C5" w:rsidRDefault="0044688D" w:rsidP="0044688D">
      <w:pPr>
        <w:ind w:left="720"/>
        <w:rPr>
          <w:rFonts w:ascii="Garamond" w:hAnsi="Garamond"/>
        </w:rPr>
      </w:pPr>
      <w:r w:rsidRPr="00BF27C5">
        <w:rPr>
          <w:rFonts w:ascii="Garamond" w:hAnsi="Garamond"/>
          <w:b/>
          <w:bCs/>
        </w:rPr>
        <w:t xml:space="preserve">Sunday, April 12 by midnight: </w:t>
      </w:r>
      <w:r w:rsidRPr="00BF27C5">
        <w:rPr>
          <w:rFonts w:ascii="Garamond" w:hAnsi="Garamond"/>
        </w:rPr>
        <w:t xml:space="preserve">Draft of Research Project Rough draft. Please post this to Blackboard if </w:t>
      </w:r>
      <w:r w:rsidRPr="00BF27C5">
        <w:rPr>
          <w:rFonts w:ascii="Garamond" w:hAnsi="Garamond"/>
          <w:b/>
          <w:bCs/>
          <w:i/>
          <w:iCs/>
          <w:u w:val="single"/>
        </w:rPr>
        <w:t>at all possible</w:t>
      </w:r>
      <w:r w:rsidRPr="00BF27C5">
        <w:rPr>
          <w:rFonts w:ascii="Garamond" w:hAnsi="Garamond"/>
        </w:rPr>
        <w:t xml:space="preserve">. </w:t>
      </w:r>
      <w:r w:rsidR="00412F4A">
        <w:rPr>
          <w:rFonts w:ascii="Garamond" w:hAnsi="Garamond"/>
        </w:rPr>
        <w:t xml:space="preserve">You may simply post a link as long as we can follow it. </w:t>
      </w:r>
      <w:r w:rsidRPr="00BF27C5">
        <w:rPr>
          <w:rFonts w:ascii="Garamond" w:hAnsi="Garamond"/>
        </w:rPr>
        <w:t xml:space="preserve">If </w:t>
      </w:r>
      <w:proofErr w:type="gramStart"/>
      <w:r w:rsidR="00C0417B">
        <w:rPr>
          <w:rFonts w:ascii="Garamond" w:hAnsi="Garamond"/>
        </w:rPr>
        <w:t>this options</w:t>
      </w:r>
      <w:proofErr w:type="gramEnd"/>
      <w:r w:rsidR="00C0417B">
        <w:rPr>
          <w:rFonts w:ascii="Garamond" w:hAnsi="Garamond"/>
        </w:rPr>
        <w:t xml:space="preserve"> are not possible,</w:t>
      </w:r>
      <w:r w:rsidRPr="00BF27C5">
        <w:rPr>
          <w:rFonts w:ascii="Garamond" w:hAnsi="Garamond"/>
        </w:rPr>
        <w:t xml:space="preserve"> please share with both me and your two workshop partners in a fashion that we can all access it (check with us before hand to see if we can access). </w:t>
      </w:r>
    </w:p>
    <w:p w14:paraId="32292315" w14:textId="6F33B5CB" w:rsidR="0044688D" w:rsidRPr="00BF27C5" w:rsidRDefault="0044688D" w:rsidP="0044688D">
      <w:pPr>
        <w:ind w:left="720"/>
        <w:rPr>
          <w:rFonts w:ascii="Garamond" w:hAnsi="Garamond"/>
        </w:rPr>
      </w:pPr>
    </w:p>
    <w:p w14:paraId="2DD20C6E" w14:textId="4E3CB910" w:rsidR="0044688D" w:rsidRPr="00BF27C5" w:rsidRDefault="0044688D" w:rsidP="0044688D">
      <w:pPr>
        <w:ind w:left="720"/>
        <w:rPr>
          <w:rFonts w:ascii="Garamond" w:hAnsi="Garamond"/>
        </w:rPr>
      </w:pPr>
      <w:r w:rsidRPr="00BF27C5">
        <w:rPr>
          <w:rFonts w:ascii="Garamond" w:hAnsi="Garamond"/>
          <w:b/>
          <w:bCs/>
        </w:rPr>
        <w:t>Monday, April 13 by midnight</w:t>
      </w:r>
      <w:r w:rsidRPr="00BF27C5">
        <w:rPr>
          <w:rFonts w:ascii="Garamond" w:hAnsi="Garamond"/>
        </w:rPr>
        <w:t>: Complete review of your groups’ drafts.</w:t>
      </w:r>
    </w:p>
    <w:p w14:paraId="0A94721C" w14:textId="7BEA40BC" w:rsidR="0044688D" w:rsidRPr="00BF27C5" w:rsidRDefault="0044688D" w:rsidP="0044688D">
      <w:pPr>
        <w:ind w:left="720"/>
        <w:rPr>
          <w:rFonts w:ascii="Garamond" w:hAnsi="Garamond"/>
        </w:rPr>
      </w:pPr>
    </w:p>
    <w:p w14:paraId="64C25EB6" w14:textId="546F6D36" w:rsidR="0044688D" w:rsidRPr="00BF27C5" w:rsidRDefault="0044688D" w:rsidP="0044688D">
      <w:pPr>
        <w:ind w:left="720"/>
        <w:rPr>
          <w:rFonts w:ascii="Garamond" w:hAnsi="Garamond"/>
        </w:rPr>
      </w:pPr>
      <w:r w:rsidRPr="00BF27C5">
        <w:rPr>
          <w:rFonts w:ascii="Garamond" w:hAnsi="Garamond"/>
          <w:b/>
          <w:bCs/>
        </w:rPr>
        <w:t>Friday, April 17 by midnight:</w:t>
      </w:r>
      <w:r w:rsidRPr="00BF27C5">
        <w:rPr>
          <w:rFonts w:ascii="Garamond" w:hAnsi="Garamond"/>
        </w:rPr>
        <w:t xml:space="preserve"> Post or send final draft of your research project to me. </w:t>
      </w:r>
    </w:p>
    <w:p w14:paraId="7DC1D23F" w14:textId="77777777" w:rsidR="0044688D" w:rsidRPr="00BF27C5" w:rsidRDefault="0044688D" w:rsidP="0044688D">
      <w:pPr>
        <w:rPr>
          <w:rFonts w:ascii="Garamond" w:hAnsi="Garamond"/>
        </w:rPr>
      </w:pPr>
    </w:p>
    <w:p w14:paraId="0FABC91B" w14:textId="77777777" w:rsidR="0044688D" w:rsidRPr="00BF27C5" w:rsidRDefault="0044688D" w:rsidP="0044688D">
      <w:pPr>
        <w:rPr>
          <w:rFonts w:ascii="Garamond" w:hAnsi="Garamond"/>
        </w:rPr>
      </w:pPr>
    </w:p>
    <w:p w14:paraId="4C4EBAFE" w14:textId="77777777" w:rsidR="0044688D" w:rsidRPr="00DD08F4" w:rsidRDefault="0044688D" w:rsidP="0044688D">
      <w:pPr>
        <w:rPr>
          <w:rFonts w:ascii="Garamond" w:hAnsi="Garamond"/>
          <w:i/>
          <w:iCs/>
        </w:rPr>
      </w:pPr>
      <w:r w:rsidRPr="00DD08F4">
        <w:rPr>
          <w:rFonts w:ascii="Garamond" w:hAnsi="Garamond"/>
          <w:i/>
          <w:iCs/>
        </w:rPr>
        <w:t xml:space="preserve">(Grading Rubric forthcoming) </w:t>
      </w:r>
    </w:p>
    <w:p w14:paraId="3C50741C" w14:textId="41E48B81" w:rsidR="00230787" w:rsidRDefault="00F06D35">
      <w:pPr>
        <w:rPr>
          <w:rFonts w:ascii="Garamond" w:hAnsi="Garamond"/>
        </w:rPr>
      </w:pPr>
    </w:p>
    <w:p w14:paraId="77C8B558" w14:textId="69E1D6DE" w:rsidR="00F06D35" w:rsidRDefault="00F06D35">
      <w:pPr>
        <w:rPr>
          <w:rFonts w:ascii="Garamond" w:hAnsi="Garamond"/>
        </w:rPr>
      </w:pPr>
    </w:p>
    <w:p w14:paraId="17FD040D" w14:textId="395E6839" w:rsidR="00F06D35" w:rsidRPr="00F06D35" w:rsidRDefault="00F06D35">
      <w:pPr>
        <w:rPr>
          <w:rFonts w:ascii="Garamond" w:hAnsi="Garamond"/>
          <w:b/>
          <w:bCs/>
        </w:rPr>
      </w:pPr>
      <w:r w:rsidRPr="00F06D35">
        <w:rPr>
          <w:rFonts w:ascii="Garamond" w:hAnsi="Garamond"/>
          <w:b/>
          <w:bCs/>
        </w:rPr>
        <w:t>Possible Events for Research:</w:t>
      </w:r>
      <w:r>
        <w:rPr>
          <w:rFonts w:ascii="Garamond" w:hAnsi="Garamond"/>
          <w:b/>
          <w:bCs/>
        </w:rPr>
        <w:t xml:space="preserve">  </w:t>
      </w:r>
      <w:r w:rsidRPr="00F06D35">
        <w:rPr>
          <w:rFonts w:ascii="Garamond" w:hAnsi="Garamond"/>
        </w:rPr>
        <w:t>I have included ones affecting areas in the U.S. and China, as th</w:t>
      </w:r>
      <w:r>
        <w:rPr>
          <w:rFonts w:ascii="Garamond" w:hAnsi="Garamond"/>
        </w:rPr>
        <w:t>ose</w:t>
      </w:r>
      <w:r w:rsidRPr="00F06D35">
        <w:rPr>
          <w:rFonts w:ascii="Garamond" w:hAnsi="Garamond"/>
        </w:rPr>
        <w:t xml:space="preserve"> </w:t>
      </w:r>
      <w:r>
        <w:rPr>
          <w:rFonts w:ascii="Garamond" w:hAnsi="Garamond"/>
        </w:rPr>
        <w:t>reflect the origins of our class. Again, you may choose another event, but please run it by me first.</w:t>
      </w:r>
    </w:p>
    <w:p w14:paraId="01A6FAC6" w14:textId="7DEF3393" w:rsidR="00F06D35" w:rsidRDefault="00F06D35">
      <w:pPr>
        <w:rPr>
          <w:rFonts w:ascii="Garamond" w:hAnsi="Garamond"/>
        </w:rPr>
      </w:pPr>
    </w:p>
    <w:p w14:paraId="248D1478" w14:textId="77777777" w:rsidR="00F06D35" w:rsidRPr="00F06D35" w:rsidRDefault="00F06D35" w:rsidP="00F06D35">
      <w:pPr>
        <w:rPr>
          <w:rFonts w:ascii="Garamond" w:hAnsi="Garamond"/>
        </w:rPr>
      </w:pPr>
      <w:r w:rsidRPr="00F06D35">
        <w:rPr>
          <w:rFonts w:ascii="Garamond" w:hAnsi="Garamond"/>
        </w:rPr>
        <w:t>1871 Chicago fire</w:t>
      </w:r>
    </w:p>
    <w:p w14:paraId="5356FF5B" w14:textId="77777777" w:rsidR="00F06D35" w:rsidRPr="00F06D35" w:rsidRDefault="00F06D35" w:rsidP="00F06D35">
      <w:pPr>
        <w:rPr>
          <w:rFonts w:ascii="Garamond" w:hAnsi="Garamond"/>
        </w:rPr>
      </w:pPr>
      <w:r w:rsidRPr="00F06D35">
        <w:rPr>
          <w:rFonts w:ascii="Garamond" w:hAnsi="Garamond"/>
        </w:rPr>
        <w:t>1871 Peshtigo Fire</w:t>
      </w:r>
    </w:p>
    <w:p w14:paraId="4B8F3600" w14:textId="77777777" w:rsidR="00F06D35" w:rsidRPr="00F06D35" w:rsidRDefault="00F06D35" w:rsidP="00F06D35">
      <w:pPr>
        <w:rPr>
          <w:rFonts w:ascii="Garamond" w:hAnsi="Garamond"/>
        </w:rPr>
      </w:pPr>
      <w:r w:rsidRPr="00F06D35">
        <w:rPr>
          <w:rFonts w:ascii="Garamond" w:hAnsi="Garamond"/>
        </w:rPr>
        <w:t>1906 San Francisco earthquake and Fire (no reference to Chinese pop)</w:t>
      </w:r>
    </w:p>
    <w:p w14:paraId="50178613" w14:textId="77777777" w:rsidR="00F06D35" w:rsidRPr="00F06D35" w:rsidRDefault="00F06D35" w:rsidP="00F06D35">
      <w:pPr>
        <w:rPr>
          <w:rFonts w:ascii="Garamond" w:hAnsi="Garamond"/>
        </w:rPr>
      </w:pPr>
      <w:r w:rsidRPr="00F06D35">
        <w:rPr>
          <w:rFonts w:ascii="Garamond" w:hAnsi="Garamond"/>
        </w:rPr>
        <w:t>1811 New Madrid Earthquake</w:t>
      </w:r>
    </w:p>
    <w:p w14:paraId="317F6C35" w14:textId="77777777" w:rsidR="00F06D35" w:rsidRPr="00F06D35" w:rsidRDefault="00F06D35" w:rsidP="00F06D35">
      <w:pPr>
        <w:rPr>
          <w:rFonts w:ascii="Garamond" w:hAnsi="Garamond"/>
        </w:rPr>
      </w:pPr>
      <w:r w:rsidRPr="00F06D35">
        <w:rPr>
          <w:rFonts w:ascii="Garamond" w:hAnsi="Garamond"/>
        </w:rPr>
        <w:t>1986 Chernobyl disaster</w:t>
      </w:r>
    </w:p>
    <w:p w14:paraId="0066F6EA" w14:textId="77777777" w:rsidR="00F06D35" w:rsidRPr="00F06D35" w:rsidRDefault="00F06D35" w:rsidP="00F06D35">
      <w:pPr>
        <w:rPr>
          <w:rFonts w:ascii="Garamond" w:hAnsi="Garamond"/>
        </w:rPr>
      </w:pPr>
      <w:r w:rsidRPr="00F06D35">
        <w:rPr>
          <w:rFonts w:ascii="Garamond" w:hAnsi="Garamond"/>
        </w:rPr>
        <w:t>1989 Exxon Valdez Oil Spill</w:t>
      </w:r>
    </w:p>
    <w:p w14:paraId="091B1154" w14:textId="77777777" w:rsidR="00F06D35" w:rsidRPr="00F06D35" w:rsidRDefault="00F06D35" w:rsidP="00F06D35">
      <w:pPr>
        <w:rPr>
          <w:rFonts w:ascii="Garamond" w:hAnsi="Garamond"/>
        </w:rPr>
      </w:pPr>
      <w:r w:rsidRPr="00F06D35">
        <w:rPr>
          <w:rFonts w:ascii="Garamond" w:hAnsi="Garamond"/>
        </w:rPr>
        <w:t>1889 Johnstown flood</w:t>
      </w:r>
    </w:p>
    <w:p w14:paraId="6E747E55" w14:textId="77777777" w:rsidR="00F06D35" w:rsidRPr="00F06D35" w:rsidRDefault="00F06D35" w:rsidP="00F06D35">
      <w:pPr>
        <w:rPr>
          <w:rFonts w:ascii="Garamond" w:hAnsi="Garamond"/>
        </w:rPr>
      </w:pPr>
      <w:r w:rsidRPr="00F06D35">
        <w:rPr>
          <w:rFonts w:ascii="Garamond" w:hAnsi="Garamond"/>
        </w:rPr>
        <w:t>1918 Spanish Flu</w:t>
      </w:r>
    </w:p>
    <w:p w14:paraId="061F81A7" w14:textId="77777777" w:rsidR="00F06D35" w:rsidRPr="00F06D35" w:rsidRDefault="00F06D35" w:rsidP="00F06D35">
      <w:pPr>
        <w:rPr>
          <w:rFonts w:ascii="Garamond" w:hAnsi="Garamond"/>
        </w:rPr>
      </w:pPr>
      <w:r w:rsidRPr="00F06D35">
        <w:rPr>
          <w:rFonts w:ascii="Garamond" w:hAnsi="Garamond"/>
        </w:rPr>
        <w:t>1755 Lisbon Earthquake</w:t>
      </w:r>
    </w:p>
    <w:p w14:paraId="01BD94E6" w14:textId="77777777" w:rsidR="00F06D35" w:rsidRPr="00F06D35" w:rsidRDefault="00F06D35" w:rsidP="00F06D35">
      <w:pPr>
        <w:rPr>
          <w:rFonts w:ascii="Garamond" w:hAnsi="Garamond"/>
        </w:rPr>
      </w:pPr>
      <w:r w:rsidRPr="00F06D35">
        <w:rPr>
          <w:rFonts w:ascii="Garamond" w:hAnsi="Garamond"/>
        </w:rPr>
        <w:t>Great Blizzard of 1888</w:t>
      </w:r>
    </w:p>
    <w:p w14:paraId="6105FBFE" w14:textId="77777777" w:rsidR="00F06D35" w:rsidRPr="00F06D35" w:rsidRDefault="00F06D35" w:rsidP="00F06D35">
      <w:pPr>
        <w:rPr>
          <w:rFonts w:ascii="Garamond" w:eastAsia="Times New Roman" w:hAnsi="Garamond"/>
          <w:color w:val="000000"/>
          <w:kern w:val="36"/>
          <w:lang w:val="en"/>
        </w:rPr>
      </w:pPr>
      <w:r w:rsidRPr="00F06D35">
        <w:rPr>
          <w:rFonts w:ascii="Garamond" w:eastAsia="Times New Roman" w:hAnsi="Garamond"/>
          <w:color w:val="000000"/>
          <w:kern w:val="36"/>
          <w:lang w:val="en"/>
        </w:rPr>
        <w:t>1976 Tangshan earthquake</w:t>
      </w:r>
    </w:p>
    <w:p w14:paraId="3DA12135" w14:textId="77777777" w:rsidR="00F06D35" w:rsidRPr="00F06D35" w:rsidRDefault="00F06D35" w:rsidP="00F06D35">
      <w:pPr>
        <w:rPr>
          <w:rFonts w:ascii="Garamond" w:hAnsi="Garamond"/>
          <w:b/>
          <w:bCs/>
          <w:color w:val="000000"/>
          <w:lang w:val="en"/>
        </w:rPr>
      </w:pPr>
      <w:r w:rsidRPr="00F06D35">
        <w:rPr>
          <w:rFonts w:ascii="Garamond" w:hAnsi="Garamond"/>
          <w:color w:val="000000"/>
          <w:lang w:val="en"/>
        </w:rPr>
        <w:t xml:space="preserve">1920 </w:t>
      </w:r>
      <w:proofErr w:type="spellStart"/>
      <w:r w:rsidRPr="00F06D35">
        <w:rPr>
          <w:rFonts w:ascii="Garamond" w:hAnsi="Garamond"/>
          <w:color w:val="000000"/>
          <w:lang w:val="en"/>
        </w:rPr>
        <w:t>Haiyuan</w:t>
      </w:r>
      <w:proofErr w:type="spellEnd"/>
      <w:r w:rsidRPr="00F06D35">
        <w:rPr>
          <w:rFonts w:ascii="Garamond" w:hAnsi="Garamond"/>
          <w:color w:val="000000"/>
          <w:lang w:val="en"/>
        </w:rPr>
        <w:t xml:space="preserve"> earthquake</w:t>
      </w:r>
      <w:bookmarkStart w:id="0" w:name="_GoBack"/>
      <w:bookmarkEnd w:id="0"/>
    </w:p>
    <w:p w14:paraId="6983C83E" w14:textId="77777777" w:rsidR="00F06D35" w:rsidRPr="00F06D35" w:rsidRDefault="00F06D35" w:rsidP="00F06D35">
      <w:pPr>
        <w:rPr>
          <w:rFonts w:ascii="Garamond" w:hAnsi="Garamond" w:cs="Arial"/>
          <w:b/>
          <w:bCs/>
          <w:color w:val="333333"/>
        </w:rPr>
      </w:pPr>
      <w:r w:rsidRPr="00F06D35">
        <w:rPr>
          <w:rFonts w:ascii="Garamond" w:hAnsi="Garamond" w:cs="Arial"/>
          <w:color w:val="333333"/>
        </w:rPr>
        <w:t>The 1887 Yellow River Flood</w:t>
      </w:r>
    </w:p>
    <w:p w14:paraId="7FA5D221" w14:textId="77777777" w:rsidR="00F06D35" w:rsidRPr="00F06D35" w:rsidRDefault="00F06D35" w:rsidP="00F06D35">
      <w:pPr>
        <w:rPr>
          <w:rFonts w:ascii="Garamond" w:hAnsi="Garamond" w:cs="Arial"/>
          <w:b/>
          <w:bCs/>
          <w:color w:val="333333"/>
        </w:rPr>
      </w:pPr>
      <w:r w:rsidRPr="00F06D35">
        <w:rPr>
          <w:rFonts w:ascii="Garamond" w:hAnsi="Garamond" w:cs="Arial"/>
          <w:color w:val="333333"/>
        </w:rPr>
        <w:t>The Central China Floods of 1931</w:t>
      </w:r>
    </w:p>
    <w:p w14:paraId="177B3380" w14:textId="77777777" w:rsidR="00F06D35" w:rsidRPr="00F06D35" w:rsidRDefault="00F06D35" w:rsidP="00F06D35">
      <w:pPr>
        <w:rPr>
          <w:rFonts w:ascii="Garamond" w:hAnsi="Garamond" w:cs="Arial"/>
          <w:b/>
          <w:bCs/>
          <w:color w:val="181818"/>
          <w:spacing w:val="8"/>
        </w:rPr>
      </w:pPr>
      <w:r w:rsidRPr="00F06D35">
        <w:rPr>
          <w:rFonts w:ascii="Garamond" w:hAnsi="Garamond" w:cs="Arial"/>
          <w:color w:val="181818"/>
          <w:spacing w:val="8"/>
        </w:rPr>
        <w:t>The Great Galveston Storm of 1900</w:t>
      </w:r>
    </w:p>
    <w:p w14:paraId="6C73848C" w14:textId="77777777" w:rsidR="00F06D35" w:rsidRPr="00F06D35" w:rsidRDefault="00F06D35" w:rsidP="00F06D35">
      <w:pPr>
        <w:rPr>
          <w:rFonts w:ascii="Garamond" w:hAnsi="Garamond" w:cs="Arial"/>
          <w:b/>
          <w:bCs/>
          <w:color w:val="181818"/>
          <w:spacing w:val="8"/>
        </w:rPr>
      </w:pPr>
      <w:r w:rsidRPr="00F06D35">
        <w:rPr>
          <w:rFonts w:ascii="Garamond" w:hAnsi="Garamond" w:cs="Arial"/>
          <w:color w:val="181818"/>
          <w:spacing w:val="8"/>
        </w:rPr>
        <w:t xml:space="preserve">Tri-State </w:t>
      </w:r>
      <w:proofErr w:type="spellStart"/>
      <w:r w:rsidRPr="00F06D35">
        <w:rPr>
          <w:rFonts w:ascii="Garamond" w:hAnsi="Garamond" w:cs="Arial"/>
          <w:color w:val="181818"/>
          <w:spacing w:val="8"/>
        </w:rPr>
        <w:t>Tornada</w:t>
      </w:r>
      <w:proofErr w:type="spellEnd"/>
      <w:r w:rsidRPr="00F06D35">
        <w:rPr>
          <w:rFonts w:ascii="Garamond" w:hAnsi="Garamond" w:cs="Arial"/>
          <w:color w:val="181818"/>
          <w:spacing w:val="8"/>
        </w:rPr>
        <w:t xml:space="preserve"> of 1925</w:t>
      </w:r>
    </w:p>
    <w:p w14:paraId="26B0E0E7" w14:textId="77777777" w:rsidR="00F06D35" w:rsidRPr="00F06D35" w:rsidRDefault="00F06D35" w:rsidP="00F06D35">
      <w:pPr>
        <w:rPr>
          <w:rFonts w:ascii="Garamond" w:hAnsi="Garamond"/>
          <w:b/>
          <w:bCs/>
          <w:color w:val="000000"/>
          <w:lang w:val="en"/>
        </w:rPr>
      </w:pPr>
      <w:r w:rsidRPr="00F06D35">
        <w:rPr>
          <w:rFonts w:ascii="Garamond" w:hAnsi="Garamond"/>
          <w:color w:val="000000"/>
          <w:lang w:val="en"/>
        </w:rPr>
        <w:t>San Francisco Fire of 1851</w:t>
      </w:r>
    </w:p>
    <w:p w14:paraId="6AB0C313" w14:textId="77777777" w:rsidR="00F06D35" w:rsidRPr="00F06D35" w:rsidRDefault="00F06D35" w:rsidP="00F06D35">
      <w:pPr>
        <w:rPr>
          <w:rFonts w:ascii="Garamond" w:hAnsi="Garamond"/>
          <w:b/>
          <w:bCs/>
          <w:color w:val="000000"/>
          <w:lang w:val="en"/>
        </w:rPr>
      </w:pPr>
      <w:r w:rsidRPr="00F06D35">
        <w:rPr>
          <w:rFonts w:ascii="Garamond" w:hAnsi="Garamond"/>
          <w:color w:val="000000"/>
          <w:lang w:val="en"/>
        </w:rPr>
        <w:t>1870 Medina, Ohio Fire</w:t>
      </w:r>
    </w:p>
    <w:p w14:paraId="5C9A90B4" w14:textId="3D86FFFA" w:rsidR="00F06D35" w:rsidRPr="00F06D35" w:rsidRDefault="00F06D35" w:rsidP="00F06D35">
      <w:pPr>
        <w:rPr>
          <w:rFonts w:ascii="Garamond" w:hAnsi="Garamond"/>
          <w:lang w:val="en"/>
        </w:rPr>
      </w:pPr>
      <w:r w:rsidRPr="00F06D35">
        <w:rPr>
          <w:rFonts w:ascii="Garamond" w:hAnsi="Garamond"/>
          <w:color w:val="000000"/>
          <w:lang w:val="en"/>
        </w:rPr>
        <w:t>1921 Tulsa Race Rio</w:t>
      </w:r>
      <w:r w:rsidRPr="00F06D35">
        <w:rPr>
          <w:rFonts w:ascii="Garamond" w:hAnsi="Garamond"/>
          <w:b/>
          <w:bCs/>
          <w:color w:val="000000"/>
          <w:lang w:val="en"/>
        </w:rPr>
        <w:t>t</w:t>
      </w:r>
    </w:p>
    <w:sectPr w:rsidR="00F06D35" w:rsidRPr="00F06D35" w:rsidSect="00347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B55FE1"/>
    <w:multiLevelType w:val="hybridMultilevel"/>
    <w:tmpl w:val="0BB0A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24E4493"/>
    <w:multiLevelType w:val="hybridMultilevel"/>
    <w:tmpl w:val="E92278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8D"/>
    <w:rsid w:val="000375F1"/>
    <w:rsid w:val="00107BA7"/>
    <w:rsid w:val="001957AE"/>
    <w:rsid w:val="001F6873"/>
    <w:rsid w:val="0022766E"/>
    <w:rsid w:val="002B4E3F"/>
    <w:rsid w:val="00347A98"/>
    <w:rsid w:val="00351BE4"/>
    <w:rsid w:val="00412F4A"/>
    <w:rsid w:val="0044688D"/>
    <w:rsid w:val="004703E1"/>
    <w:rsid w:val="004E07C7"/>
    <w:rsid w:val="0058616B"/>
    <w:rsid w:val="00700D1B"/>
    <w:rsid w:val="00751982"/>
    <w:rsid w:val="00794B06"/>
    <w:rsid w:val="007E0946"/>
    <w:rsid w:val="007F5CE2"/>
    <w:rsid w:val="00823C85"/>
    <w:rsid w:val="00847BBC"/>
    <w:rsid w:val="0096492A"/>
    <w:rsid w:val="009C54F5"/>
    <w:rsid w:val="00A04C63"/>
    <w:rsid w:val="00A226E8"/>
    <w:rsid w:val="00A35941"/>
    <w:rsid w:val="00BF27C5"/>
    <w:rsid w:val="00BF4470"/>
    <w:rsid w:val="00C0417B"/>
    <w:rsid w:val="00CB6EA8"/>
    <w:rsid w:val="00DD08F4"/>
    <w:rsid w:val="00DD772A"/>
    <w:rsid w:val="00E20FBA"/>
    <w:rsid w:val="00E31782"/>
    <w:rsid w:val="00E54A3B"/>
    <w:rsid w:val="00F06D35"/>
    <w:rsid w:val="00FD5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71ABE3"/>
  <w15:chartTrackingRefBased/>
  <w15:docId w15:val="{21D96A84-7C2B-4642-936D-5DCEF6DD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color w:val="333333"/>
        <w:spacing w:val="7"/>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88D"/>
    <w:rPr>
      <w:rFonts w:eastAsiaTheme="minorEastAsia" w:cs="Times New Roman"/>
      <w:color w:val="auto"/>
      <w:spacing w:val="0"/>
    </w:rPr>
  </w:style>
  <w:style w:type="paragraph" w:styleId="Heading1">
    <w:name w:val="heading 1"/>
    <w:basedOn w:val="Normal"/>
    <w:link w:val="Heading1Char"/>
    <w:uiPriority w:val="9"/>
    <w:qFormat/>
    <w:rsid w:val="00F06D35"/>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92A"/>
    <w:pPr>
      <w:ind w:left="720"/>
      <w:contextualSpacing/>
    </w:pPr>
  </w:style>
  <w:style w:type="character" w:styleId="Hyperlink">
    <w:name w:val="Hyperlink"/>
    <w:basedOn w:val="DefaultParagraphFont"/>
    <w:uiPriority w:val="99"/>
    <w:semiHidden/>
    <w:unhideWhenUsed/>
    <w:rsid w:val="00823C85"/>
    <w:rPr>
      <w:color w:val="0000FF"/>
      <w:u w:val="single"/>
    </w:rPr>
  </w:style>
  <w:style w:type="paragraph" w:styleId="BalloonText">
    <w:name w:val="Balloon Text"/>
    <w:basedOn w:val="Normal"/>
    <w:link w:val="BalloonTextChar"/>
    <w:uiPriority w:val="99"/>
    <w:semiHidden/>
    <w:unhideWhenUsed/>
    <w:rsid w:val="007F5CE2"/>
    <w:rPr>
      <w:sz w:val="18"/>
      <w:szCs w:val="18"/>
    </w:rPr>
  </w:style>
  <w:style w:type="character" w:customStyle="1" w:styleId="BalloonTextChar">
    <w:name w:val="Balloon Text Char"/>
    <w:basedOn w:val="DefaultParagraphFont"/>
    <w:link w:val="BalloonText"/>
    <w:uiPriority w:val="99"/>
    <w:semiHidden/>
    <w:rsid w:val="007F5CE2"/>
    <w:rPr>
      <w:rFonts w:eastAsiaTheme="minorEastAsia" w:cs="Times New Roman"/>
      <w:color w:val="auto"/>
      <w:spacing w:val="0"/>
      <w:sz w:val="18"/>
      <w:szCs w:val="18"/>
    </w:rPr>
  </w:style>
  <w:style w:type="character" w:customStyle="1" w:styleId="Heading1Char">
    <w:name w:val="Heading 1 Char"/>
    <w:basedOn w:val="DefaultParagraphFont"/>
    <w:link w:val="Heading1"/>
    <w:uiPriority w:val="9"/>
    <w:rsid w:val="00F06D35"/>
    <w:rPr>
      <w:rFonts w:eastAsia="Times New Roman" w:cs="Times New Roman"/>
      <w:b/>
      <w:bCs/>
      <w:color w:val="auto"/>
      <w:spacing w:val="0"/>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358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wikipedia.org/wiki/Lists_of_disast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Hollis, Jessica</cp:lastModifiedBy>
  <cp:revision>27</cp:revision>
  <dcterms:created xsi:type="dcterms:W3CDTF">2020-03-18T15:18:00Z</dcterms:created>
  <dcterms:modified xsi:type="dcterms:W3CDTF">2020-03-19T16:35:00Z</dcterms:modified>
</cp:coreProperties>
</file>