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F8849" w14:textId="77777777" w:rsidR="002C3231" w:rsidRDefault="002C3231" w:rsidP="002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E0C1E47" w14:textId="77777777" w:rsidR="002C3231" w:rsidRDefault="002C3231" w:rsidP="002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1F267C1" w14:textId="77777777" w:rsidR="002C3231" w:rsidRDefault="002C3231" w:rsidP="002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B83286A" w14:textId="77777777" w:rsidR="002C3231" w:rsidRDefault="002C3231" w:rsidP="002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1B2210E" w14:textId="77777777" w:rsidR="002C3231" w:rsidRDefault="002C3231" w:rsidP="002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9AAF8EA" w14:textId="77777777" w:rsidR="002C3231" w:rsidRDefault="002C3231" w:rsidP="002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5F1C1940" w14:textId="77777777" w:rsidR="002C3231" w:rsidRDefault="002C3231" w:rsidP="002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06FF919C" w14:textId="77777777" w:rsidR="003D295D" w:rsidRDefault="003D295D" w:rsidP="002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1581B47D" w14:textId="77777777" w:rsidR="003D295D" w:rsidRDefault="003D295D" w:rsidP="002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5FE2F70" w14:textId="636EB8AC" w:rsidR="002C3231" w:rsidRDefault="002C3231" w:rsidP="002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Research on Cannabis</w:t>
      </w:r>
    </w:p>
    <w:p w14:paraId="1A4AA5C7" w14:textId="77777777" w:rsidR="002C3231" w:rsidRDefault="002C3231" w:rsidP="002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Student’s Name</w:t>
      </w:r>
    </w:p>
    <w:p w14:paraId="313BFCF8" w14:textId="24121D63" w:rsidR="002C3231" w:rsidRDefault="002C3231" w:rsidP="002C3231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Institutional Affiliation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br w:type="page"/>
      </w:r>
    </w:p>
    <w:p w14:paraId="3BB1E28E" w14:textId="61CA8422" w:rsidR="0012126D" w:rsidRPr="009A771F" w:rsidRDefault="0012126D" w:rsidP="0012126D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7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lastRenderedPageBreak/>
        <w:t>Research a drug of your choice.  Fill out the following information based on your research:</w:t>
      </w:r>
    </w:p>
    <w:p w14:paraId="324D483D" w14:textId="77777777" w:rsidR="0012126D" w:rsidRPr="009A771F" w:rsidRDefault="0012126D" w:rsidP="0012126D">
      <w:pPr>
        <w:shd w:val="clear" w:color="auto" w:fill="F4F4F4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771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Drug Information</w:t>
      </w:r>
    </w:p>
    <w:tbl>
      <w:tblPr>
        <w:tblW w:w="0" w:type="auto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932"/>
        <w:gridCol w:w="2804"/>
        <w:gridCol w:w="932"/>
        <w:gridCol w:w="933"/>
        <w:gridCol w:w="2806"/>
      </w:tblGrid>
      <w:tr w:rsidR="0012126D" w:rsidRPr="009A771F" w14:paraId="72ED1F66" w14:textId="77777777" w:rsidTr="0012126D">
        <w:trPr>
          <w:trHeight w:val="826"/>
        </w:trPr>
        <w:tc>
          <w:tcPr>
            <w:tcW w:w="47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E367" w14:textId="4EB6C580" w:rsidR="00FB48D1" w:rsidRPr="009A771F" w:rsidRDefault="0012126D" w:rsidP="00FB4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Chemical Name:</w:t>
            </w:r>
            <w:r w:rsidR="00FB48D1" w:rsidRPr="009A771F">
              <w:rPr>
                <w:rFonts w:ascii="Times New Roman" w:hAnsi="Times New Roman" w:cs="Times New Roman"/>
                <w:sz w:val="24"/>
                <w:szCs w:val="24"/>
              </w:rPr>
              <w:t xml:space="preserve"> Tetrahydrocannabinol</w:t>
            </w:r>
          </w:p>
          <w:p w14:paraId="59D92027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369C2" w14:textId="3E71961A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Chemical Formula:</w:t>
            </w:r>
            <w:r w:rsidR="004D58EC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03E02" w:rsidRPr="009A77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C</w:t>
            </w:r>
            <w:r w:rsidR="00203E02" w:rsidRPr="009A77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bscript"/>
              </w:rPr>
              <w:t>21</w:t>
            </w:r>
            <w:r w:rsidR="00203E02" w:rsidRPr="009A77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H</w:t>
            </w:r>
            <w:r w:rsidR="00203E02" w:rsidRPr="009A77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bscript"/>
              </w:rPr>
              <w:t>30</w:t>
            </w:r>
            <w:r w:rsidR="00203E02" w:rsidRPr="009A77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O</w:t>
            </w:r>
            <w:r w:rsidR="00203E02" w:rsidRPr="009A771F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</w:tr>
      <w:tr w:rsidR="0012126D" w:rsidRPr="009A771F" w14:paraId="366D0A11" w14:textId="77777777" w:rsidTr="0012126D">
        <w:trPr>
          <w:trHeight w:val="826"/>
        </w:trPr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A89DD" w14:textId="3B63A70D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Street Name(s):</w:t>
            </w:r>
            <w:r w:rsidR="00FB48D1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Bhang</w:t>
            </w:r>
            <w:r w:rsidR="00A0325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0325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Cannabis,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0325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Marijuana,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0325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Weed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795DD" w14:textId="2C1EDFB8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Brand Name(s):</w:t>
            </w:r>
            <w:r w:rsidR="004D58EC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Legal Green</w:t>
            </w:r>
          </w:p>
        </w:tc>
      </w:tr>
      <w:tr w:rsidR="0012126D" w:rsidRPr="009A771F" w14:paraId="4064C078" w14:textId="77777777" w:rsidTr="0012126D">
        <w:trPr>
          <w:trHeight w:val="547"/>
        </w:trPr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EC4B" w14:textId="63F14EA9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Chemical Derivatives:</w:t>
            </w:r>
            <w:r w:rsidR="00FB48D1" w:rsidRPr="009A77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B48D1" w:rsidRPr="009A771F">
              <w:rPr>
                <w:rFonts w:ascii="Times New Roman" w:hAnsi="Times New Roman" w:cs="Times New Roman"/>
                <w:sz w:val="24"/>
                <w:szCs w:val="24"/>
              </w:rPr>
              <w:t>Sclerosis,</w:t>
            </w:r>
            <w:r w:rsidR="004D7673" w:rsidRPr="009A7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8D1" w:rsidRPr="009A771F">
              <w:rPr>
                <w:rFonts w:ascii="Times New Roman" w:hAnsi="Times New Roman" w:cs="Times New Roman"/>
                <w:sz w:val="24"/>
                <w:szCs w:val="24"/>
              </w:rPr>
              <w:t>Cannabidiol,</w:t>
            </w:r>
            <w:r w:rsidR="004D7673" w:rsidRPr="009A7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8D1" w:rsidRPr="009A771F">
              <w:rPr>
                <w:rFonts w:ascii="Times New Roman" w:hAnsi="Times New Roman" w:cs="Times New Roman"/>
                <w:sz w:val="24"/>
                <w:szCs w:val="24"/>
              </w:rPr>
              <w:t>Nabiximols,</w:t>
            </w:r>
            <w:r w:rsidR="004D7673" w:rsidRPr="009A7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8D1" w:rsidRPr="009A771F">
              <w:rPr>
                <w:rFonts w:ascii="Times New Roman" w:hAnsi="Times New Roman" w:cs="Times New Roman"/>
                <w:sz w:val="24"/>
                <w:szCs w:val="24"/>
              </w:rPr>
              <w:t>Cannabis,</w:t>
            </w:r>
            <w:r w:rsidR="004D7673" w:rsidRPr="009A7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8D1" w:rsidRPr="009A771F">
              <w:rPr>
                <w:rFonts w:ascii="Times New Roman" w:hAnsi="Times New Roman" w:cs="Times New Roman"/>
                <w:sz w:val="24"/>
                <w:szCs w:val="24"/>
              </w:rPr>
              <w:t>Endocannabinoid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0C2F9" w14:textId="475FAE06" w:rsidR="0012126D" w:rsidRPr="009A771F" w:rsidRDefault="004D58EC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Street Value ($) 346.02 per ounce</w:t>
            </w:r>
          </w:p>
        </w:tc>
      </w:tr>
      <w:tr w:rsidR="0012126D" w:rsidRPr="009A771F" w14:paraId="0B399D67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898A7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Schedule:  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52F70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Classification:</w:t>
            </w:r>
          </w:p>
        </w:tc>
      </w:tr>
      <w:tr w:rsidR="0012126D" w:rsidRPr="009A771F" w14:paraId="488BEE19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8375C" w14:textId="0F7AE3B2" w:rsidR="0012126D" w:rsidRPr="009A771F" w:rsidRDefault="00203E02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</w:t>
            </w:r>
            <w:r w:rsidR="0012126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√</w:t>
            </w: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08E14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75DF2" w14:textId="498345A6" w:rsidR="0012126D" w:rsidRPr="009A771F" w:rsidRDefault="00203E02" w:rsidP="00203E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</w:t>
            </w:r>
            <w:r w:rsidR="0012126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Narcotic</w:t>
            </w:r>
          </w:p>
        </w:tc>
      </w:tr>
      <w:tr w:rsidR="0012126D" w:rsidRPr="009A771F" w14:paraId="01E21BA2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9FF30" w14:textId="77777777" w:rsidR="0012126D" w:rsidRPr="009A771F" w:rsidRDefault="0012126D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vAlign w:val="center"/>
            <w:hideMark/>
          </w:tcPr>
          <w:p w14:paraId="3AFFA091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FA321" w14:textId="787DD87C" w:rsidR="0012126D" w:rsidRPr="009A771F" w:rsidRDefault="00203E02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</w:t>
            </w:r>
            <w:r w:rsidR="0012126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Hallucinogen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√</w:t>
            </w:r>
          </w:p>
        </w:tc>
      </w:tr>
      <w:tr w:rsidR="0012126D" w:rsidRPr="009A771F" w14:paraId="597D799E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AC607" w14:textId="77777777" w:rsidR="0012126D" w:rsidRPr="009A771F" w:rsidRDefault="0012126D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III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vAlign w:val="center"/>
            <w:hideMark/>
          </w:tcPr>
          <w:p w14:paraId="019BF2E2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187A4" w14:textId="0EE70F6D" w:rsidR="0012126D" w:rsidRPr="009A771F" w:rsidRDefault="00203E02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</w:t>
            </w:r>
            <w:r w:rsidR="0012126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Stimulant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√</w:t>
            </w:r>
          </w:p>
        </w:tc>
      </w:tr>
      <w:tr w:rsidR="0012126D" w:rsidRPr="009A771F" w14:paraId="58C00FFB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F7BF0" w14:textId="77777777" w:rsidR="0012126D" w:rsidRPr="009A771F" w:rsidRDefault="0012126D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vAlign w:val="center"/>
            <w:hideMark/>
          </w:tcPr>
          <w:p w14:paraId="1032825A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F7A34" w14:textId="3EC032F4" w:rsidR="0012126D" w:rsidRPr="009A771F" w:rsidRDefault="00203E02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</w:t>
            </w:r>
            <w:r w:rsidR="0012126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Depressant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√</w:t>
            </w:r>
          </w:p>
        </w:tc>
      </w:tr>
      <w:tr w:rsidR="0012126D" w:rsidRPr="009A771F" w14:paraId="47ED7DB8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1EA05" w14:textId="77777777" w:rsidR="0012126D" w:rsidRPr="009A771F" w:rsidRDefault="0012126D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vAlign w:val="center"/>
            <w:hideMark/>
          </w:tcPr>
          <w:p w14:paraId="24EBB9DA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5B997" w14:textId="4C13CD8A" w:rsidR="0012126D" w:rsidRPr="009A771F" w:rsidRDefault="00203E02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2126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Analgesic</w:t>
            </w:r>
          </w:p>
        </w:tc>
      </w:tr>
      <w:tr w:rsidR="0012126D" w:rsidRPr="009A771F" w14:paraId="02683B35" w14:textId="77777777" w:rsidTr="0012126D">
        <w:trPr>
          <w:trHeight w:val="2504"/>
        </w:trPr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BDD412" w14:textId="31B7F336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Effects Upon Use:</w:t>
            </w:r>
            <w:r w:rsidR="00FB48D1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Hallucinations</w:t>
            </w:r>
          </w:p>
          <w:p w14:paraId="21098E3C" w14:textId="77777777" w:rsidR="00FB48D1" w:rsidRPr="009A771F" w:rsidRDefault="00FB48D1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Short term memory</w:t>
            </w:r>
          </w:p>
          <w:p w14:paraId="00EBBAF5" w14:textId="77777777" w:rsidR="00FB48D1" w:rsidRPr="009A771F" w:rsidRDefault="00FB48D1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Severe anxiety</w:t>
            </w:r>
          </w:p>
          <w:p w14:paraId="68220A5D" w14:textId="23781CA4" w:rsidR="00FB48D1" w:rsidRPr="009A771F" w:rsidRDefault="00FB48D1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Increased heart rate</w:t>
            </w:r>
          </w:p>
          <w:p w14:paraId="6DB41C8B" w14:textId="77777777" w:rsidR="00FB48D1" w:rsidRPr="009A771F" w:rsidRDefault="00FB48D1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Impaired co-ordination</w:t>
            </w:r>
          </w:p>
          <w:p w14:paraId="51EF875C" w14:textId="77777777" w:rsidR="00FB48D1" w:rsidRPr="009A771F" w:rsidRDefault="00FB48D1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Addiction</w:t>
            </w:r>
          </w:p>
          <w:p w14:paraId="7CFCC798" w14:textId="7C1051D2" w:rsidR="00FB48D1" w:rsidRPr="009A771F" w:rsidRDefault="00FB48D1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                       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DC21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Adverse Effects/Withdrawal Symptoms:</w:t>
            </w:r>
          </w:p>
          <w:p w14:paraId="72F3CE36" w14:textId="77777777" w:rsidR="00FB48D1" w:rsidRPr="009A771F" w:rsidRDefault="00FB48D1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Irritability</w:t>
            </w:r>
          </w:p>
          <w:p w14:paraId="018993AB" w14:textId="77777777" w:rsidR="00FB48D1" w:rsidRPr="009A771F" w:rsidRDefault="00FB48D1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Insomnia</w:t>
            </w:r>
          </w:p>
          <w:p w14:paraId="0E6FFE1C" w14:textId="77777777" w:rsidR="00FB48D1" w:rsidRPr="009A771F" w:rsidRDefault="00FB48D1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Loss of appetite</w:t>
            </w:r>
          </w:p>
          <w:p w14:paraId="08821B91" w14:textId="780D68CC" w:rsidR="00FB48D1" w:rsidRPr="009A771F" w:rsidRDefault="00FB48D1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12126D" w:rsidRPr="009A771F" w14:paraId="3761D718" w14:textId="77777777" w:rsidTr="0012126D"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41633" w14:textId="7974271C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Psychological Abuse Potential: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49A57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Physical Abuse Potential:</w:t>
            </w:r>
          </w:p>
        </w:tc>
      </w:tr>
      <w:tr w:rsidR="00A0325D" w:rsidRPr="009A771F" w14:paraId="38FD2513" w14:textId="77777777" w:rsidTr="0012126D"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5853E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66FB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C5B49" w14:textId="77777777" w:rsidR="0012126D" w:rsidRPr="009A771F" w:rsidRDefault="0012126D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None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F0E3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415DF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7EAF2" w14:textId="77777777" w:rsidR="0012126D" w:rsidRPr="009A771F" w:rsidRDefault="0012126D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None</w:t>
            </w:r>
          </w:p>
        </w:tc>
      </w:tr>
      <w:tr w:rsidR="00A0325D" w:rsidRPr="009A771F" w14:paraId="266E960D" w14:textId="77777777" w:rsidTr="0012126D"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4179A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A56A6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AE0C4" w14:textId="4E712B13" w:rsidR="0012126D" w:rsidRPr="009A771F" w:rsidRDefault="0012126D" w:rsidP="00203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Low</w:t>
            </w:r>
            <w:r w:rsidR="00FB48D1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</w:t>
            </w:r>
            <w:r w:rsidR="00203E02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√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D9D77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EB081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60946" w14:textId="0957420D" w:rsidR="0012126D" w:rsidRPr="009A771F" w:rsidRDefault="0012126D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Low</w:t>
            </w:r>
            <w:r w:rsidR="00FB48D1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      √</w:t>
            </w:r>
          </w:p>
        </w:tc>
      </w:tr>
      <w:tr w:rsidR="00A0325D" w:rsidRPr="009A771F" w14:paraId="66789BD6" w14:textId="77777777" w:rsidTr="0012126D">
        <w:tc>
          <w:tcPr>
            <w:tcW w:w="95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3F78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DB20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D3044" w14:textId="77777777" w:rsidR="0012126D" w:rsidRPr="009A771F" w:rsidRDefault="0012126D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Moderate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19224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06F94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6E63" w14:textId="77777777" w:rsidR="0012126D" w:rsidRPr="009A771F" w:rsidRDefault="0012126D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Moderate</w:t>
            </w:r>
          </w:p>
        </w:tc>
      </w:tr>
      <w:tr w:rsidR="00A0325D" w:rsidRPr="009A771F" w14:paraId="62DB8288" w14:textId="77777777" w:rsidTr="0012126D">
        <w:tc>
          <w:tcPr>
            <w:tcW w:w="9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52B5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4CE28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BDA8" w14:textId="77777777" w:rsidR="0012126D" w:rsidRPr="009A771F" w:rsidRDefault="0012126D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High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9A9CD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3FA29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0C4D3" w14:textId="77777777" w:rsidR="0012126D" w:rsidRPr="009A771F" w:rsidRDefault="0012126D" w:rsidP="001212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High</w:t>
            </w:r>
          </w:p>
        </w:tc>
      </w:tr>
      <w:tr w:rsidR="0012126D" w:rsidRPr="009A771F" w14:paraId="40249883" w14:textId="77777777" w:rsidTr="0012126D">
        <w:trPr>
          <w:trHeight w:val="2776"/>
        </w:trPr>
        <w:tc>
          <w:tcPr>
            <w:tcW w:w="47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B77DF" w14:textId="182AB324" w:rsidR="0012126D" w:rsidRPr="009A771F" w:rsidRDefault="0012126D" w:rsidP="009A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Analysis: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0325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Bhang,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0325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generally known as weed is a stimulant,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depressant and a hallucinogen. </w:t>
            </w:r>
            <w:r w:rsidR="00A0325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It is extracted from the leaves of cannabis plants.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A0325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Its c</w:t>
            </w:r>
            <w:r w:rsidR="00106941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omponents are mainly Cannabidiol </w:t>
            </w:r>
            <w:r w:rsidR="00A0325D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and </w:t>
            </w:r>
            <w:r w:rsidR="00106941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Tetrahydrocannabinol.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06941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Abuse of Bhang results in both short term and long term effe</w:t>
            </w:r>
            <w:r w:rsidR="009A771F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cts like anxiety and addiction</w:t>
            </w:r>
            <w:r w:rsidR="00106941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06941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Cannabis,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06941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despi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te being illegal in many places </w:t>
            </w:r>
            <w:r w:rsidR="00106941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is being legalized in more areas due to its medicinal and recreational value.</w:t>
            </w:r>
          </w:p>
        </w:tc>
        <w:tc>
          <w:tcPr>
            <w:tcW w:w="47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81E7" w14:textId="77777777" w:rsidR="0012126D" w:rsidRPr="009A771F" w:rsidRDefault="0012126D" w:rsidP="001212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Possession and Trafficking/Intent To Distribute Charges:</w:t>
            </w:r>
          </w:p>
          <w:p w14:paraId="10A25F09" w14:textId="283AAFCB" w:rsidR="00106941" w:rsidRPr="009A771F" w:rsidRDefault="004D58EC" w:rsidP="004D5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According to the Federal law,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possession,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trafficking or intent to distribute cannabis is a crime.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However,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Cannabis possession often carries less severe charges as compared to trafficking and sale,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ranging from fines to jail terms.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Penalties against 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possession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of 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cannabis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are often varied depending with the amount at hand,</w:t>
            </w:r>
            <w:r w:rsidR="004D7673"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A77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 the offender.</w:t>
            </w:r>
          </w:p>
        </w:tc>
      </w:tr>
    </w:tbl>
    <w:p w14:paraId="00E0B18F" w14:textId="77777777" w:rsidR="002A4B78" w:rsidRDefault="002A4B78" w:rsidP="009A771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708735F" w14:textId="77777777" w:rsidR="002A4B78" w:rsidRDefault="002A4B78" w:rsidP="009A771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2A3ED4BD" w14:textId="77777777" w:rsidR="002A4B78" w:rsidRDefault="002A4B78" w:rsidP="009A771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61270CEE" w14:textId="77777777" w:rsidR="002043A5" w:rsidRDefault="002043A5" w:rsidP="009A771F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14:paraId="4C067DCE" w14:textId="39273DD3" w:rsidR="0012126D" w:rsidRPr="009A771F" w:rsidRDefault="009A771F" w:rsidP="009A77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A771F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47C4EC36" w14:textId="0CFBFD8E" w:rsidR="009A771F" w:rsidRPr="009A771F" w:rsidRDefault="009A771F" w:rsidP="009A771F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Small, E. (2015). Evolution and classification of Cannabis sativa (marijuana, hemp) in relation to human utilization. </w:t>
      </w:r>
      <w:r w:rsidRPr="009A771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botanical review</w:t>
      </w:r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A771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81</w:t>
      </w:r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189-294.</w:t>
      </w:r>
    </w:p>
    <w:p w14:paraId="63105B4A" w14:textId="0B6DBD15" w:rsidR="009A771F" w:rsidRPr="009A771F" w:rsidRDefault="009A771F" w:rsidP="009A771F">
      <w:pPr>
        <w:spacing w:line="480" w:lineRule="auto"/>
        <w:ind w:firstLine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Battistella, G., </w:t>
      </w:r>
      <w:proofErr w:type="spellStart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Fornari</w:t>
      </w:r>
      <w:proofErr w:type="spellEnd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E., </w:t>
      </w:r>
      <w:proofErr w:type="spellStart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Annoni</w:t>
      </w:r>
      <w:proofErr w:type="spellEnd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J. M., </w:t>
      </w:r>
      <w:proofErr w:type="spellStart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Chtioui</w:t>
      </w:r>
      <w:proofErr w:type="spellEnd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Dao, K., </w:t>
      </w:r>
      <w:proofErr w:type="spellStart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Fabritius</w:t>
      </w:r>
      <w:proofErr w:type="spellEnd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M</w:t>
      </w:r>
      <w:proofErr w:type="gramStart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., ...</w:t>
      </w:r>
      <w:proofErr w:type="gramEnd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&amp; </w:t>
      </w:r>
      <w:proofErr w:type="spellStart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Giroud</w:t>
      </w:r>
      <w:proofErr w:type="spellEnd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(2014). Long-term effects of cannabis on brain structure. </w:t>
      </w:r>
      <w:proofErr w:type="spellStart"/>
      <w:r w:rsidRPr="009A771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Neuropsychopharmacology</w:t>
      </w:r>
      <w:proofErr w:type="spellEnd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A771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39</w:t>
      </w:r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2041-2048.</w:t>
      </w:r>
    </w:p>
    <w:p w14:paraId="0BFB7CB7" w14:textId="75408897" w:rsidR="009A771F" w:rsidRPr="009A771F" w:rsidRDefault="009A771F" w:rsidP="009A771F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Hall, W., &amp; </w:t>
      </w:r>
      <w:proofErr w:type="spellStart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Lynskey</w:t>
      </w:r>
      <w:proofErr w:type="spellEnd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 (2016). Why it is probably too soon to assess the public health effects of </w:t>
      </w:r>
      <w:proofErr w:type="spellStart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legalisation</w:t>
      </w:r>
      <w:proofErr w:type="spellEnd"/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recreational cannabis use in the USA. </w:t>
      </w:r>
      <w:r w:rsidRPr="009A771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Lancet Psychiatry</w:t>
      </w:r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A771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</w:t>
      </w:r>
      <w:r w:rsidRPr="009A771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(9), 900-906.</w:t>
      </w:r>
    </w:p>
    <w:sectPr w:rsidR="009A771F" w:rsidRPr="009A771F" w:rsidSect="00914B0E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C71FE6" w14:textId="77777777" w:rsidR="00853A95" w:rsidRDefault="00853A95" w:rsidP="002C3231">
      <w:pPr>
        <w:spacing w:after="0" w:line="240" w:lineRule="auto"/>
      </w:pPr>
      <w:r>
        <w:separator/>
      </w:r>
    </w:p>
  </w:endnote>
  <w:endnote w:type="continuationSeparator" w:id="0">
    <w:p w14:paraId="15B5A498" w14:textId="77777777" w:rsidR="00853A95" w:rsidRDefault="00853A95" w:rsidP="002C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4A95E" w14:textId="77777777" w:rsidR="00853A95" w:rsidRDefault="00853A95" w:rsidP="002C3231">
      <w:pPr>
        <w:spacing w:after="0" w:line="240" w:lineRule="auto"/>
      </w:pPr>
      <w:r>
        <w:separator/>
      </w:r>
    </w:p>
  </w:footnote>
  <w:footnote w:type="continuationSeparator" w:id="0">
    <w:p w14:paraId="3D14B078" w14:textId="77777777" w:rsidR="00853A95" w:rsidRDefault="00853A95" w:rsidP="002C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A8196" w14:textId="7C7970AF" w:rsidR="002C3231" w:rsidRDefault="002C3231">
    <w:pPr>
      <w:pStyle w:val="Header"/>
    </w:pPr>
    <w:r>
      <w:t>RESEARCH ON CANNABIS</w:t>
    </w:r>
  </w:p>
  <w:p w14:paraId="37009E9B" w14:textId="23EE5840" w:rsidR="002C3231" w:rsidRDefault="002C32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AEF97" w14:textId="77777777" w:rsidR="00914B0E" w:rsidRDefault="00914B0E" w:rsidP="00914B0E">
    <w:pPr>
      <w:pStyle w:val="Header"/>
    </w:pPr>
    <w:r>
      <w:t>Running Head: RESEARCH ON CANNABIS</w:t>
    </w:r>
  </w:p>
  <w:p w14:paraId="5F356F10" w14:textId="77777777" w:rsidR="00914B0E" w:rsidRDefault="00914B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zMTA2NLAwszA0tjRS0lEKTi0uzszPAykwqQUA62qYWCwAAAA="/>
  </w:docVars>
  <w:rsids>
    <w:rsidRoot w:val="0012126D"/>
    <w:rsid w:val="00106941"/>
    <w:rsid w:val="0012126D"/>
    <w:rsid w:val="00203E02"/>
    <w:rsid w:val="002043A5"/>
    <w:rsid w:val="002A4B78"/>
    <w:rsid w:val="002C3231"/>
    <w:rsid w:val="003D295D"/>
    <w:rsid w:val="004D58EC"/>
    <w:rsid w:val="004D7673"/>
    <w:rsid w:val="00853A95"/>
    <w:rsid w:val="00914B0E"/>
    <w:rsid w:val="009A771F"/>
    <w:rsid w:val="00A0325D"/>
    <w:rsid w:val="00A5127E"/>
    <w:rsid w:val="00F20560"/>
    <w:rsid w:val="00FB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AC4D5"/>
  <w15:chartTrackingRefBased/>
  <w15:docId w15:val="{1F3C6AA7-8836-42B5-B353-5B1FB17F9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231"/>
  </w:style>
  <w:style w:type="paragraph" w:styleId="Footer">
    <w:name w:val="footer"/>
    <w:basedOn w:val="Normal"/>
    <w:link w:val="FooterChar"/>
    <w:uiPriority w:val="99"/>
    <w:unhideWhenUsed/>
    <w:rsid w:val="002C32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9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5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9231">
          <w:marLeft w:val="405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6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1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Jayson Oneschuk</dc:creator>
  <cp:keywords/>
  <dc:description/>
  <cp:lastModifiedBy>dennis mucheru</cp:lastModifiedBy>
  <cp:revision>7</cp:revision>
  <dcterms:created xsi:type="dcterms:W3CDTF">2021-06-08T19:04:00Z</dcterms:created>
  <dcterms:modified xsi:type="dcterms:W3CDTF">2021-06-08T19:20:00Z</dcterms:modified>
</cp:coreProperties>
</file>