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Name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Tutor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Institution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Date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Question One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I think Holmes approach to the issue of funding the no-fly list is bizarre and should be turned on its head. The estimates may be attractive theoretically but on the ground, one realizes that in his approach, Holmes uses interviews on government officials who may be biased in giving out information and therefore the validity of their data can be skewed to serve their interests. Also, the government documents its expenditures at all stages and all departments. It is, therefore, expected that this documentation could have helped Holmes to come up with better estimates on no-fly list expenses for the government rather than giving general observations from interviews. Also, the views of between $300-966 are a broad one and therefore are not exact for stakeholders in the DHS to determine the expenses for the no-fly list.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What also brings inaccuracies in the figures that Holmes presents is that most of the security funding is classified. Therefore, it beats any logic to claim that the statistics are accurate since the expenditures on the no-fly list are only preserved for the government and within the Department of Homeland Security (DHS). In also coming up with the benefits that are accrued from the funding of the no-fly list, it is difficult to evaluate the benefits that are accrued socially making it difficult to substantiate the figures offered by Holmes to be accurate.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Question Two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lastRenderedPageBreak/>
        <w:t xml:space="preserve">Going by the results offered by Holmes, the benefits got from maintaining a no-fly list by the government outweighs the costs. It is very clear that when a country maintains a no-fly list, it is very hard for the listed criminal to infiltrate a country and mete either social, economic, or any other crimes that put a country in a precarious situation. For instance, the cost of ensuring that one member of the no-fly list does not make it to American planes, the plane, the passengers, and the luggage that could be in the plane are all safeguarded against possible bombing. The psychological impacts of maintaining a no-fly list as well give stability to the passengers and even terrorists who may want to plot terror events fear potential reprisals.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The article by Holmes notes that no employer of the No-fly list operates on the lower ends of salary, $50000 per year. But he also indicates that the employees also perform several other security functions other than the specific roles of maintaining and operations of the no-fly list. Therefore, the employees also perform other security functions which then justify the salaries that they get. Accordingly, the burden falls on the taxpayers even though it is noted to be on a slight note. It has to be recorded. However, that airport or rail stations can be adversely affected by terrorist activities which will stall their operations and developments. The airports, for instance, create enormous resources for the government. Therefore, relative to the costs of maintaining detention rooms for the no-fly lists and officers for the work, the benefit cannot be overemphasized.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Question Three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Several criteria should be used prioritize budgets for protecting different transport modes. One of the requirements cited is the risk that a transport mode is exposed to. For instance, air transport is always at high risk and the effects in case of occurrence of the risks are fatal. Therefore, it should </w:t>
      </w:r>
      <w:r w:rsidRPr="00822EA3">
        <w:rPr>
          <w:rFonts w:ascii="Times New Roman" w:hAnsi="Times New Roman" w:cs="Times New Roman"/>
          <w:sz w:val="24"/>
          <w:szCs w:val="24"/>
        </w:rPr>
        <w:lastRenderedPageBreak/>
        <w:t xml:space="preserve">be given priority ahead of other transport modes. Another criterion is the value of properties that are exposed to risks that may be caused by not maintaining no-fly lists. Therefore, air transport is always given priority in budgeting for no-fly lists then followed by other water and rail and roads follow. Besides, rail and road are not overexposed to external terrorists as much as water and air transport are. </w:t>
      </w: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Work Cited </w:t>
      </w:r>
    </w:p>
    <w:p w:rsidR="00751573" w:rsidRDefault="00822EA3" w:rsidP="00822EA3">
      <w:pPr>
        <w:spacing w:line="480" w:lineRule="auto"/>
        <w:rPr>
          <w:rFonts w:ascii="Times New Roman" w:hAnsi="Times New Roman" w:cs="Times New Roman"/>
          <w:sz w:val="24"/>
          <w:szCs w:val="24"/>
        </w:rPr>
      </w:pPr>
      <w:hyperlink r:id="rId7" w:history="1">
        <w:r w:rsidRPr="00867137">
          <w:rPr>
            <w:rStyle w:val="Hyperlink"/>
            <w:rFonts w:ascii="Times New Roman" w:hAnsi="Times New Roman" w:cs="Times New Roman"/>
            <w:sz w:val="24"/>
            <w:szCs w:val="24"/>
          </w:rPr>
          <w:t>https://www.hsaj.org/articles/111</w:t>
        </w:r>
      </w:hyperlink>
    </w:p>
    <w:p w:rsidR="00822EA3" w:rsidRPr="00822EA3" w:rsidRDefault="00822EA3" w:rsidP="00822EA3">
      <w:pPr>
        <w:spacing w:line="480" w:lineRule="auto"/>
        <w:rPr>
          <w:rFonts w:ascii="Times New Roman" w:hAnsi="Times New Roman" w:cs="Times New Roman"/>
          <w:sz w:val="24"/>
          <w:szCs w:val="24"/>
        </w:rPr>
      </w:pPr>
      <w:bookmarkStart w:id="0" w:name="_GoBack"/>
      <w:bookmarkEnd w:id="0"/>
    </w:p>
    <w:sectPr w:rsidR="00822EA3" w:rsidRPr="00822EA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310" w:rsidRDefault="00DE1310" w:rsidP="00822EA3">
      <w:pPr>
        <w:spacing w:after="0" w:line="240" w:lineRule="auto"/>
      </w:pPr>
      <w:r>
        <w:separator/>
      </w:r>
    </w:p>
  </w:endnote>
  <w:endnote w:type="continuationSeparator" w:id="0">
    <w:p w:rsidR="00DE1310" w:rsidRDefault="00DE1310" w:rsidP="00822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310" w:rsidRDefault="00DE1310" w:rsidP="00822EA3">
      <w:pPr>
        <w:spacing w:after="0" w:line="240" w:lineRule="auto"/>
      </w:pPr>
      <w:r>
        <w:separator/>
      </w:r>
    </w:p>
  </w:footnote>
  <w:footnote w:type="continuationSeparator" w:id="0">
    <w:p w:rsidR="00DE1310" w:rsidRDefault="00DE1310" w:rsidP="00822E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4906024"/>
      <w:docPartObj>
        <w:docPartGallery w:val="Page Numbers (Top of Page)"/>
        <w:docPartUnique/>
      </w:docPartObj>
    </w:sdtPr>
    <w:sdtEndPr>
      <w:rPr>
        <w:noProof/>
      </w:rPr>
    </w:sdtEndPr>
    <w:sdtContent>
      <w:p w:rsidR="00822EA3" w:rsidRPr="00822EA3" w:rsidRDefault="00822EA3">
        <w:pPr>
          <w:pStyle w:val="Header"/>
          <w:jc w:val="right"/>
          <w:rPr>
            <w:rFonts w:ascii="Times New Roman" w:hAnsi="Times New Roman" w:cs="Times New Roman"/>
            <w:sz w:val="24"/>
            <w:szCs w:val="24"/>
          </w:rPr>
        </w:pPr>
        <w:r w:rsidRPr="00822EA3">
          <w:rPr>
            <w:rFonts w:ascii="Times New Roman" w:hAnsi="Times New Roman" w:cs="Times New Roman"/>
            <w:sz w:val="24"/>
            <w:szCs w:val="24"/>
          </w:rPr>
          <w:t>Surname</w:t>
        </w:r>
        <w:r w:rsidRPr="00822EA3">
          <w:rPr>
            <w:rFonts w:ascii="Times New Roman" w:hAnsi="Times New Roman" w:cs="Times New Roman"/>
            <w:sz w:val="24"/>
            <w:szCs w:val="24"/>
          </w:rPr>
          <w:fldChar w:fldCharType="begin"/>
        </w:r>
        <w:r w:rsidRPr="00822EA3">
          <w:rPr>
            <w:rFonts w:ascii="Times New Roman" w:hAnsi="Times New Roman" w:cs="Times New Roman"/>
            <w:sz w:val="24"/>
            <w:szCs w:val="24"/>
          </w:rPr>
          <w:instrText xml:space="preserve"> PAGE   \* MERGEFORMAT </w:instrText>
        </w:r>
        <w:r w:rsidRPr="00822EA3">
          <w:rPr>
            <w:rFonts w:ascii="Times New Roman" w:hAnsi="Times New Roman" w:cs="Times New Roman"/>
            <w:sz w:val="24"/>
            <w:szCs w:val="24"/>
          </w:rPr>
          <w:fldChar w:fldCharType="separate"/>
        </w:r>
        <w:r>
          <w:rPr>
            <w:rFonts w:ascii="Times New Roman" w:hAnsi="Times New Roman" w:cs="Times New Roman"/>
            <w:noProof/>
            <w:sz w:val="24"/>
            <w:szCs w:val="24"/>
          </w:rPr>
          <w:t>1</w:t>
        </w:r>
        <w:r w:rsidRPr="00822EA3">
          <w:rPr>
            <w:rFonts w:ascii="Times New Roman" w:hAnsi="Times New Roman" w:cs="Times New Roman"/>
            <w:noProof/>
            <w:sz w:val="24"/>
            <w:szCs w:val="24"/>
          </w:rPr>
          <w:fldChar w:fldCharType="end"/>
        </w:r>
      </w:p>
    </w:sdtContent>
  </w:sdt>
  <w:p w:rsidR="00822EA3" w:rsidRDefault="00822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EA3"/>
    <w:rsid w:val="00751573"/>
    <w:rsid w:val="00822EA3"/>
    <w:rsid w:val="00DE1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EA3"/>
  </w:style>
  <w:style w:type="paragraph" w:styleId="Footer">
    <w:name w:val="footer"/>
    <w:basedOn w:val="Normal"/>
    <w:link w:val="FooterChar"/>
    <w:uiPriority w:val="99"/>
    <w:unhideWhenUsed/>
    <w:rsid w:val="00822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EA3"/>
  </w:style>
  <w:style w:type="character" w:styleId="Hyperlink">
    <w:name w:val="Hyperlink"/>
    <w:basedOn w:val="DefaultParagraphFont"/>
    <w:uiPriority w:val="99"/>
    <w:unhideWhenUsed/>
    <w:rsid w:val="00822E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EA3"/>
  </w:style>
  <w:style w:type="paragraph" w:styleId="Footer">
    <w:name w:val="footer"/>
    <w:basedOn w:val="Normal"/>
    <w:link w:val="FooterChar"/>
    <w:uiPriority w:val="99"/>
    <w:unhideWhenUsed/>
    <w:rsid w:val="00822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EA3"/>
  </w:style>
  <w:style w:type="character" w:styleId="Hyperlink">
    <w:name w:val="Hyperlink"/>
    <w:basedOn w:val="DefaultParagraphFont"/>
    <w:uiPriority w:val="99"/>
    <w:unhideWhenUsed/>
    <w:rsid w:val="00822E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saj.org/articles/11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2018-11-07T11:08:00Z</dcterms:created>
  <dcterms:modified xsi:type="dcterms:W3CDTF">2018-11-07T11:09:00Z</dcterms:modified>
</cp:coreProperties>
</file>