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7B5FA" w14:textId="77777777" w:rsidR="00323D1A" w:rsidRDefault="00323D1A" w:rsidP="00323D1A">
      <w:pPr>
        <w:spacing w:line="480" w:lineRule="auto"/>
        <w:jc w:val="center"/>
      </w:pPr>
    </w:p>
    <w:p w14:paraId="0EB96F35" w14:textId="77777777" w:rsidR="00323D1A" w:rsidRDefault="00323D1A" w:rsidP="00323D1A">
      <w:pPr>
        <w:spacing w:line="480" w:lineRule="auto"/>
        <w:jc w:val="center"/>
      </w:pPr>
    </w:p>
    <w:p w14:paraId="4C2394BB" w14:textId="77777777" w:rsidR="00323D1A" w:rsidRDefault="00323D1A" w:rsidP="00323D1A">
      <w:pPr>
        <w:spacing w:line="480" w:lineRule="auto"/>
        <w:jc w:val="center"/>
      </w:pPr>
    </w:p>
    <w:p w14:paraId="035368F7" w14:textId="77777777" w:rsidR="00323D1A" w:rsidRDefault="00323D1A" w:rsidP="00323D1A">
      <w:pPr>
        <w:spacing w:line="480" w:lineRule="auto"/>
        <w:jc w:val="center"/>
      </w:pPr>
    </w:p>
    <w:p w14:paraId="276A50B8" w14:textId="77777777" w:rsidR="00323D1A" w:rsidRDefault="00323D1A" w:rsidP="00323D1A">
      <w:pPr>
        <w:spacing w:line="480" w:lineRule="auto"/>
        <w:jc w:val="center"/>
      </w:pPr>
    </w:p>
    <w:p w14:paraId="34576A15" w14:textId="31EE8B7F" w:rsidR="00323D1A" w:rsidRDefault="00006689" w:rsidP="00323D1A">
      <w:pPr>
        <w:spacing w:line="480" w:lineRule="auto"/>
        <w:jc w:val="center"/>
      </w:pPr>
      <w:r>
        <w:t>Responses</w:t>
      </w:r>
    </w:p>
    <w:p w14:paraId="3EADE2F7" w14:textId="05739B59" w:rsidR="00323D1A" w:rsidRDefault="00006689" w:rsidP="00323D1A">
      <w:pPr>
        <w:spacing w:line="480" w:lineRule="auto"/>
        <w:jc w:val="center"/>
      </w:pPr>
      <w:r>
        <w:t>Student Name</w:t>
      </w:r>
    </w:p>
    <w:p w14:paraId="3F1B5F8D" w14:textId="0F0DB27A" w:rsidR="00323D1A" w:rsidRDefault="00006689" w:rsidP="00323D1A">
      <w:pPr>
        <w:spacing w:line="480" w:lineRule="auto"/>
        <w:jc w:val="center"/>
      </w:pPr>
      <w:r>
        <w:t>Institution Affiliation</w:t>
      </w:r>
    </w:p>
    <w:p w14:paraId="1B84A9B2" w14:textId="7328B713" w:rsidR="00323D1A" w:rsidRDefault="00006689" w:rsidP="00323D1A">
      <w:pPr>
        <w:spacing w:line="480" w:lineRule="auto"/>
        <w:jc w:val="center"/>
      </w:pPr>
      <w:r>
        <w:t>Date.</w:t>
      </w:r>
    </w:p>
    <w:p w14:paraId="5C2ADB37" w14:textId="4E46541B" w:rsidR="00323D1A" w:rsidRDefault="00006689">
      <w:r>
        <w:br w:type="page"/>
      </w:r>
    </w:p>
    <w:p w14:paraId="792F3B1F" w14:textId="58B50A42" w:rsidR="000D4477" w:rsidRPr="00D27D9E" w:rsidRDefault="00006689" w:rsidP="00D27D9E">
      <w:pPr>
        <w:spacing w:line="480" w:lineRule="auto"/>
        <w:ind w:firstLine="720"/>
        <w:jc w:val="both"/>
        <w:rPr>
          <w:rFonts w:cs="Times New Roman"/>
          <w:b/>
          <w:bCs/>
          <w:szCs w:val="24"/>
        </w:rPr>
      </w:pPr>
      <w:r w:rsidRPr="00D27D9E">
        <w:rPr>
          <w:rFonts w:cs="Times New Roman"/>
          <w:b/>
          <w:bCs/>
          <w:szCs w:val="24"/>
        </w:rPr>
        <w:lastRenderedPageBreak/>
        <w:t>Response 1.</w:t>
      </w:r>
    </w:p>
    <w:p w14:paraId="017E547E" w14:textId="785758BC" w:rsidR="00686E1E" w:rsidRPr="00D27D9E" w:rsidRDefault="00006689" w:rsidP="00D27D9E">
      <w:pPr>
        <w:spacing w:line="480" w:lineRule="auto"/>
        <w:ind w:firstLine="720"/>
        <w:jc w:val="both"/>
        <w:rPr>
          <w:rFonts w:cs="Times New Roman"/>
          <w:szCs w:val="24"/>
        </w:rPr>
      </w:pPr>
      <w:r w:rsidRPr="00D27D9E">
        <w:rPr>
          <w:rFonts w:cs="Times New Roman"/>
          <w:szCs w:val="24"/>
        </w:rPr>
        <w:t>I agree that the major difference between the national health system and the national health service and the national health insurance systems lie in financial payroll taxes. The funding for NHS systems comes from the taxation of the citizens while NHI systems are highly dependent on the government and private corporations.</w:t>
      </w:r>
      <w:r w:rsidR="00E1261D" w:rsidRPr="00D27D9E">
        <w:rPr>
          <w:rFonts w:cs="Times New Roman"/>
          <w:szCs w:val="24"/>
        </w:rPr>
        <w:t xml:space="preserve"> According to research by (</w:t>
      </w:r>
      <w:r w:rsidR="00F21F45" w:rsidRPr="00F21F45">
        <w:rPr>
          <w:rFonts w:cs="Times New Roman"/>
          <w:szCs w:val="24"/>
        </w:rPr>
        <w:t>Cuckler</w:t>
      </w:r>
      <w:r w:rsidR="00F21F45">
        <w:rPr>
          <w:rFonts w:cs="Times New Roman"/>
          <w:szCs w:val="24"/>
        </w:rPr>
        <w:t xml:space="preserve"> et.al </w:t>
      </w:r>
      <w:r w:rsidR="00F21F45" w:rsidRPr="00F21F45">
        <w:rPr>
          <w:rFonts w:cs="Times New Roman"/>
          <w:szCs w:val="24"/>
        </w:rPr>
        <w:t>2018</w:t>
      </w:r>
      <w:r w:rsidR="00E1261D" w:rsidRPr="00D27D9E">
        <w:rPr>
          <w:rFonts w:cs="Times New Roman"/>
          <w:szCs w:val="24"/>
        </w:rPr>
        <w:t xml:space="preserve">), </w:t>
      </w:r>
      <w:r w:rsidR="00B9020B" w:rsidRPr="00D27D9E">
        <w:rPr>
          <w:rFonts w:cs="Times New Roman"/>
          <w:szCs w:val="24"/>
        </w:rPr>
        <w:t xml:space="preserve">NHS </w:t>
      </w:r>
      <w:r w:rsidR="00B9020B" w:rsidRPr="00D27D9E">
        <w:rPr>
          <w:rFonts w:cs="Times New Roman"/>
          <w:szCs w:val="24"/>
          <w:shd w:val="clear" w:color="auto" w:fill="FFFFFF"/>
        </w:rPr>
        <w:t>ensures that all citizens within the United Kingdom receive comprehensive care irrespective of race, gender, age, disability, financial capabilities, the sexual orientation of the people, or their beliefs.</w:t>
      </w:r>
    </w:p>
    <w:p w14:paraId="14C564F3" w14:textId="48245D76" w:rsidR="00686E1E" w:rsidRDefault="00006689" w:rsidP="00D27D9E">
      <w:pPr>
        <w:spacing w:line="480" w:lineRule="auto"/>
        <w:ind w:firstLine="720"/>
        <w:jc w:val="both"/>
        <w:rPr>
          <w:rFonts w:cs="Times New Roman"/>
          <w:szCs w:val="24"/>
        </w:rPr>
      </w:pPr>
      <w:r w:rsidRPr="00D27D9E">
        <w:rPr>
          <w:rFonts w:cs="Times New Roman"/>
          <w:szCs w:val="24"/>
        </w:rPr>
        <w:t xml:space="preserve">I also agree that the United healthcare system is characterized by its inability to negotiate with insurance providers and to operate within a budget. That is, instead of healthcare provision for every citizen with equality, the insurance developed four different types of Medicare depending on the ability of the citizen to pay for it. That is Medicare part A, Medicare part B, Medicare part C, and Medicare part </w:t>
      </w:r>
      <w:r w:rsidR="00907747" w:rsidRPr="00D27D9E">
        <w:rPr>
          <w:rFonts w:cs="Times New Roman"/>
          <w:szCs w:val="24"/>
        </w:rPr>
        <w:t>(</w:t>
      </w:r>
      <w:r w:rsidR="00F21F45" w:rsidRPr="00F21F45">
        <w:rPr>
          <w:rFonts w:cs="Times New Roman"/>
          <w:szCs w:val="24"/>
        </w:rPr>
        <w:t>Papanicolas,</w:t>
      </w:r>
      <w:r w:rsidR="00F21F45">
        <w:rPr>
          <w:rFonts w:cs="Times New Roman"/>
          <w:szCs w:val="24"/>
        </w:rPr>
        <w:t xml:space="preserve"> et.al </w:t>
      </w:r>
      <w:r w:rsidR="00F21F45" w:rsidRPr="00F21F45">
        <w:rPr>
          <w:rFonts w:cs="Times New Roman"/>
          <w:szCs w:val="24"/>
        </w:rPr>
        <w:t>2018).</w:t>
      </w:r>
    </w:p>
    <w:p w14:paraId="02D19D81" w14:textId="3E941217" w:rsidR="00FB4479" w:rsidRDefault="00FB4479" w:rsidP="00D27D9E">
      <w:pPr>
        <w:spacing w:line="480" w:lineRule="auto"/>
        <w:ind w:firstLine="720"/>
        <w:jc w:val="both"/>
        <w:rPr>
          <w:rFonts w:cs="Times New Roman"/>
          <w:szCs w:val="24"/>
        </w:rPr>
      </w:pPr>
    </w:p>
    <w:p w14:paraId="5186C6FC" w14:textId="3A8C9F18" w:rsidR="00FB4479" w:rsidRDefault="00FB4479" w:rsidP="00D27D9E">
      <w:pPr>
        <w:spacing w:line="480" w:lineRule="auto"/>
        <w:ind w:firstLine="720"/>
        <w:jc w:val="both"/>
        <w:rPr>
          <w:rFonts w:cs="Times New Roman"/>
          <w:szCs w:val="24"/>
        </w:rPr>
      </w:pPr>
    </w:p>
    <w:p w14:paraId="3FC024A0" w14:textId="4949DDD9" w:rsidR="00FB4479" w:rsidRDefault="00FB4479" w:rsidP="00D27D9E">
      <w:pPr>
        <w:spacing w:line="480" w:lineRule="auto"/>
        <w:ind w:firstLine="720"/>
        <w:jc w:val="both"/>
        <w:rPr>
          <w:rFonts w:cs="Times New Roman"/>
          <w:szCs w:val="24"/>
        </w:rPr>
      </w:pPr>
    </w:p>
    <w:p w14:paraId="31D0B1DD" w14:textId="2E443192" w:rsidR="00FB4479" w:rsidRDefault="00FB4479" w:rsidP="00D27D9E">
      <w:pPr>
        <w:spacing w:line="480" w:lineRule="auto"/>
        <w:ind w:firstLine="720"/>
        <w:jc w:val="both"/>
        <w:rPr>
          <w:rFonts w:cs="Times New Roman"/>
          <w:szCs w:val="24"/>
        </w:rPr>
      </w:pPr>
    </w:p>
    <w:p w14:paraId="092E700E" w14:textId="558D7D89" w:rsidR="00FB4479" w:rsidRDefault="00FB4479" w:rsidP="00D27D9E">
      <w:pPr>
        <w:spacing w:line="480" w:lineRule="auto"/>
        <w:ind w:firstLine="720"/>
        <w:jc w:val="both"/>
        <w:rPr>
          <w:rFonts w:cs="Times New Roman"/>
          <w:szCs w:val="24"/>
        </w:rPr>
      </w:pPr>
    </w:p>
    <w:p w14:paraId="3015D04E" w14:textId="4FE50A84" w:rsidR="00FB4479" w:rsidRDefault="00FB4479" w:rsidP="00D27D9E">
      <w:pPr>
        <w:spacing w:line="480" w:lineRule="auto"/>
        <w:ind w:firstLine="720"/>
        <w:jc w:val="both"/>
        <w:rPr>
          <w:rFonts w:cs="Times New Roman"/>
          <w:szCs w:val="24"/>
        </w:rPr>
      </w:pPr>
    </w:p>
    <w:p w14:paraId="20D13D0D" w14:textId="161FE00F" w:rsidR="00FB4479" w:rsidRDefault="00FB4479" w:rsidP="00D27D9E">
      <w:pPr>
        <w:spacing w:line="480" w:lineRule="auto"/>
        <w:ind w:firstLine="720"/>
        <w:jc w:val="both"/>
        <w:rPr>
          <w:rFonts w:cs="Times New Roman"/>
          <w:szCs w:val="24"/>
        </w:rPr>
      </w:pPr>
    </w:p>
    <w:p w14:paraId="5FE36C19" w14:textId="77777777" w:rsidR="00FB4479" w:rsidRPr="00D27D9E" w:rsidRDefault="00FB4479" w:rsidP="00D27D9E">
      <w:pPr>
        <w:spacing w:line="480" w:lineRule="auto"/>
        <w:ind w:firstLine="720"/>
        <w:jc w:val="both"/>
        <w:rPr>
          <w:rFonts w:cs="Times New Roman"/>
          <w:szCs w:val="24"/>
        </w:rPr>
      </w:pPr>
    </w:p>
    <w:p w14:paraId="2196D8D8" w14:textId="0592CD0D" w:rsidR="00E1261D" w:rsidRPr="00D27D9E" w:rsidRDefault="00006689" w:rsidP="00D27D9E">
      <w:pPr>
        <w:spacing w:line="480" w:lineRule="auto"/>
        <w:ind w:firstLine="720"/>
        <w:jc w:val="both"/>
        <w:rPr>
          <w:rFonts w:cs="Times New Roman"/>
          <w:szCs w:val="24"/>
        </w:rPr>
      </w:pPr>
      <w:r w:rsidRPr="00D27D9E">
        <w:rPr>
          <w:rFonts w:cs="Times New Roman"/>
          <w:szCs w:val="24"/>
        </w:rPr>
        <w:lastRenderedPageBreak/>
        <w:t>Reference.</w:t>
      </w:r>
    </w:p>
    <w:p w14:paraId="6005144B" w14:textId="63AAE91F" w:rsidR="00FB4479" w:rsidRDefault="00F21F45" w:rsidP="00D27D9E">
      <w:pPr>
        <w:spacing w:line="480" w:lineRule="auto"/>
        <w:ind w:firstLine="720"/>
        <w:jc w:val="both"/>
        <w:rPr>
          <w:rFonts w:cs="Times New Roman"/>
          <w:color w:val="222222"/>
          <w:szCs w:val="24"/>
          <w:shd w:val="clear" w:color="auto" w:fill="FFFFFF"/>
        </w:rPr>
      </w:pPr>
      <w:r w:rsidRPr="00F21F45">
        <w:rPr>
          <w:rFonts w:cs="Times New Roman"/>
          <w:color w:val="222222"/>
          <w:szCs w:val="24"/>
          <w:shd w:val="clear" w:color="auto" w:fill="FFFFFF"/>
        </w:rPr>
        <w:t>Cuckler, G. A., Sisko, A. M., Poisal, J. A., Keehan, S. P., Smith, S. D., Madison, A. J., ... &amp; Hardesty, J. C. (2018). National health expenditure projections, 2017–26: despite uncertainty, fundamentals primarily drive spending growth. Health Affairs, 37(3), 482-492.</w:t>
      </w:r>
    </w:p>
    <w:p w14:paraId="183A12CD" w14:textId="43C59B02" w:rsidR="00FB4479" w:rsidRDefault="00F21F45" w:rsidP="00D27D9E">
      <w:pPr>
        <w:spacing w:line="480" w:lineRule="auto"/>
        <w:ind w:firstLine="720"/>
        <w:jc w:val="both"/>
        <w:rPr>
          <w:rFonts w:cs="Times New Roman"/>
          <w:color w:val="222222"/>
          <w:szCs w:val="24"/>
          <w:shd w:val="clear" w:color="auto" w:fill="FFFFFF"/>
        </w:rPr>
      </w:pPr>
      <w:bookmarkStart w:id="0" w:name="_Hlk75670094"/>
      <w:r w:rsidRPr="00F21F45">
        <w:rPr>
          <w:rFonts w:cs="Times New Roman"/>
          <w:color w:val="222222"/>
          <w:szCs w:val="24"/>
          <w:shd w:val="clear" w:color="auto" w:fill="FFFFFF"/>
        </w:rPr>
        <w:t xml:space="preserve">Papanicolas, I., Woskie, L. R., &amp; Jha, A. K. (2018). </w:t>
      </w:r>
      <w:bookmarkEnd w:id="0"/>
      <w:r w:rsidRPr="00F21F45">
        <w:rPr>
          <w:rFonts w:cs="Times New Roman"/>
          <w:color w:val="222222"/>
          <w:szCs w:val="24"/>
          <w:shd w:val="clear" w:color="auto" w:fill="FFFFFF"/>
        </w:rPr>
        <w:t>Health care spending in the United States and other high-income countries. Jama, 319(10), 1024-1039.</w:t>
      </w:r>
    </w:p>
    <w:p w14:paraId="41A0DB95" w14:textId="32B6F451" w:rsidR="00FB4479" w:rsidRDefault="00FB4479" w:rsidP="00D27D9E">
      <w:pPr>
        <w:spacing w:line="480" w:lineRule="auto"/>
        <w:ind w:firstLine="720"/>
        <w:jc w:val="both"/>
        <w:rPr>
          <w:rFonts w:cs="Times New Roman"/>
          <w:color w:val="222222"/>
          <w:szCs w:val="24"/>
          <w:shd w:val="clear" w:color="auto" w:fill="FFFFFF"/>
        </w:rPr>
      </w:pPr>
    </w:p>
    <w:p w14:paraId="2FC79D38" w14:textId="17E7465D" w:rsidR="00FB4479" w:rsidRDefault="00FB4479" w:rsidP="00D27D9E">
      <w:pPr>
        <w:spacing w:line="480" w:lineRule="auto"/>
        <w:ind w:firstLine="720"/>
        <w:jc w:val="both"/>
        <w:rPr>
          <w:rFonts w:cs="Times New Roman"/>
          <w:color w:val="222222"/>
          <w:szCs w:val="24"/>
          <w:shd w:val="clear" w:color="auto" w:fill="FFFFFF"/>
        </w:rPr>
      </w:pPr>
    </w:p>
    <w:p w14:paraId="1E83092C" w14:textId="240396FB" w:rsidR="00FB4479" w:rsidRDefault="00FB4479" w:rsidP="00D27D9E">
      <w:pPr>
        <w:spacing w:line="480" w:lineRule="auto"/>
        <w:ind w:firstLine="720"/>
        <w:jc w:val="both"/>
        <w:rPr>
          <w:rFonts w:cs="Times New Roman"/>
          <w:color w:val="222222"/>
          <w:szCs w:val="24"/>
          <w:shd w:val="clear" w:color="auto" w:fill="FFFFFF"/>
        </w:rPr>
      </w:pPr>
    </w:p>
    <w:p w14:paraId="38C3E54A" w14:textId="4E401402" w:rsidR="00FB4479" w:rsidRDefault="00FB4479" w:rsidP="00D27D9E">
      <w:pPr>
        <w:spacing w:line="480" w:lineRule="auto"/>
        <w:ind w:firstLine="720"/>
        <w:jc w:val="both"/>
        <w:rPr>
          <w:rFonts w:cs="Times New Roman"/>
          <w:color w:val="222222"/>
          <w:szCs w:val="24"/>
          <w:shd w:val="clear" w:color="auto" w:fill="FFFFFF"/>
        </w:rPr>
      </w:pPr>
    </w:p>
    <w:p w14:paraId="0B4C7F8D" w14:textId="10C5EA24" w:rsidR="00FB4479" w:rsidRDefault="00FB4479" w:rsidP="00D27D9E">
      <w:pPr>
        <w:spacing w:line="480" w:lineRule="auto"/>
        <w:ind w:firstLine="720"/>
        <w:jc w:val="both"/>
        <w:rPr>
          <w:rFonts w:cs="Times New Roman"/>
          <w:color w:val="222222"/>
          <w:szCs w:val="24"/>
          <w:shd w:val="clear" w:color="auto" w:fill="FFFFFF"/>
        </w:rPr>
      </w:pPr>
    </w:p>
    <w:p w14:paraId="13B4171C" w14:textId="7EE75134" w:rsidR="00FB4479" w:rsidRDefault="00FB4479" w:rsidP="00D27D9E">
      <w:pPr>
        <w:spacing w:line="480" w:lineRule="auto"/>
        <w:ind w:firstLine="720"/>
        <w:jc w:val="both"/>
        <w:rPr>
          <w:rFonts w:cs="Times New Roman"/>
          <w:color w:val="222222"/>
          <w:szCs w:val="24"/>
          <w:shd w:val="clear" w:color="auto" w:fill="FFFFFF"/>
        </w:rPr>
      </w:pPr>
    </w:p>
    <w:p w14:paraId="0B233566" w14:textId="60C4471F" w:rsidR="00FB4479" w:rsidRDefault="00FB4479" w:rsidP="00D27D9E">
      <w:pPr>
        <w:spacing w:line="480" w:lineRule="auto"/>
        <w:ind w:firstLine="720"/>
        <w:jc w:val="both"/>
        <w:rPr>
          <w:rFonts w:cs="Times New Roman"/>
          <w:color w:val="222222"/>
          <w:szCs w:val="24"/>
          <w:shd w:val="clear" w:color="auto" w:fill="FFFFFF"/>
        </w:rPr>
      </w:pPr>
    </w:p>
    <w:p w14:paraId="64E94B86" w14:textId="650336A8" w:rsidR="00FB4479" w:rsidRDefault="00FB4479" w:rsidP="00D27D9E">
      <w:pPr>
        <w:spacing w:line="480" w:lineRule="auto"/>
        <w:ind w:firstLine="720"/>
        <w:jc w:val="both"/>
        <w:rPr>
          <w:rFonts w:cs="Times New Roman"/>
          <w:color w:val="222222"/>
          <w:szCs w:val="24"/>
          <w:shd w:val="clear" w:color="auto" w:fill="FFFFFF"/>
        </w:rPr>
      </w:pPr>
    </w:p>
    <w:p w14:paraId="4754C936" w14:textId="1AB7F1F7" w:rsidR="00FB4479" w:rsidRDefault="00FB4479" w:rsidP="00D27D9E">
      <w:pPr>
        <w:spacing w:line="480" w:lineRule="auto"/>
        <w:ind w:firstLine="720"/>
        <w:jc w:val="both"/>
        <w:rPr>
          <w:rFonts w:cs="Times New Roman"/>
          <w:color w:val="222222"/>
          <w:szCs w:val="24"/>
          <w:shd w:val="clear" w:color="auto" w:fill="FFFFFF"/>
        </w:rPr>
      </w:pPr>
    </w:p>
    <w:p w14:paraId="1DCA3FF0" w14:textId="73039E4B" w:rsidR="00FB4479" w:rsidRDefault="00FB4479" w:rsidP="00D27D9E">
      <w:pPr>
        <w:spacing w:line="480" w:lineRule="auto"/>
        <w:ind w:firstLine="720"/>
        <w:jc w:val="both"/>
        <w:rPr>
          <w:rFonts w:cs="Times New Roman"/>
          <w:color w:val="222222"/>
          <w:szCs w:val="24"/>
          <w:shd w:val="clear" w:color="auto" w:fill="FFFFFF"/>
        </w:rPr>
      </w:pPr>
    </w:p>
    <w:p w14:paraId="6CDCA7B8" w14:textId="77777777" w:rsidR="00FB4479" w:rsidRDefault="00FB4479" w:rsidP="00D27D9E">
      <w:pPr>
        <w:spacing w:line="480" w:lineRule="auto"/>
        <w:ind w:firstLine="720"/>
        <w:jc w:val="both"/>
        <w:rPr>
          <w:rFonts w:cs="Times New Roman"/>
          <w:color w:val="222222"/>
          <w:szCs w:val="24"/>
          <w:shd w:val="clear" w:color="auto" w:fill="FFFFFF"/>
        </w:rPr>
      </w:pPr>
    </w:p>
    <w:p w14:paraId="5F34B5A9" w14:textId="77777777" w:rsidR="00FB4479" w:rsidRPr="00D27D9E" w:rsidRDefault="00FB4479" w:rsidP="00D27D9E">
      <w:pPr>
        <w:spacing w:line="480" w:lineRule="auto"/>
        <w:ind w:firstLine="720"/>
        <w:jc w:val="both"/>
        <w:rPr>
          <w:rFonts w:cs="Times New Roman"/>
          <w:szCs w:val="24"/>
        </w:rPr>
      </w:pPr>
    </w:p>
    <w:p w14:paraId="6B5E3373" w14:textId="4A7B6A8F" w:rsidR="00686E1E" w:rsidRPr="00D27D9E" w:rsidRDefault="00006689" w:rsidP="00D27D9E">
      <w:pPr>
        <w:spacing w:line="480" w:lineRule="auto"/>
        <w:ind w:firstLine="720"/>
        <w:jc w:val="both"/>
        <w:rPr>
          <w:rFonts w:cs="Times New Roman"/>
          <w:b/>
          <w:bCs/>
          <w:szCs w:val="24"/>
        </w:rPr>
      </w:pPr>
      <w:r w:rsidRPr="00D27D9E">
        <w:rPr>
          <w:rFonts w:cs="Times New Roman"/>
          <w:b/>
          <w:bCs/>
          <w:szCs w:val="24"/>
        </w:rPr>
        <w:t>Response 2.</w:t>
      </w:r>
    </w:p>
    <w:p w14:paraId="6B191455" w14:textId="2768DA21" w:rsidR="00087817" w:rsidRPr="00D27D9E" w:rsidRDefault="00006689" w:rsidP="00D27D9E">
      <w:pPr>
        <w:spacing w:line="480" w:lineRule="auto"/>
        <w:ind w:firstLine="720"/>
        <w:jc w:val="both"/>
        <w:rPr>
          <w:rFonts w:cs="Times New Roman"/>
          <w:szCs w:val="24"/>
          <w:shd w:val="clear" w:color="auto" w:fill="FFFFFF"/>
        </w:rPr>
      </w:pPr>
      <w:r w:rsidRPr="00D27D9E">
        <w:rPr>
          <w:rFonts w:cs="Times New Roman"/>
          <w:szCs w:val="24"/>
        </w:rPr>
        <w:lastRenderedPageBreak/>
        <w:t xml:space="preserve">I agree that the major difference between NHS and NHI systems involves the source of financing for the medical systems. While NHS represents a </w:t>
      </w:r>
      <w:r w:rsidRPr="00D27D9E">
        <w:rPr>
          <w:rFonts w:cs="Times New Roman"/>
          <w:szCs w:val="24"/>
          <w:shd w:val="clear" w:color="auto" w:fill="FFFFFF"/>
        </w:rPr>
        <w:t>model that is driven by private health providers with the payments that are made by insurance programs that are run by the government, the NHI represents a mechanism for funding other models of health services by ensuring that the government was empowered to have enough funds, which were controlled by a board of members chosen by the national department of health</w:t>
      </w:r>
      <w:r w:rsidR="00294803" w:rsidRPr="00D27D9E">
        <w:rPr>
          <w:rFonts w:cs="Times New Roman"/>
          <w:szCs w:val="24"/>
          <w:shd w:val="clear" w:color="auto" w:fill="FFFFFF"/>
        </w:rPr>
        <w:t xml:space="preserve"> (Silver, 2018).</w:t>
      </w:r>
    </w:p>
    <w:p w14:paraId="0AE35A37" w14:textId="77777777" w:rsidR="00294803" w:rsidRPr="00D27D9E" w:rsidRDefault="00006689" w:rsidP="00D27D9E">
      <w:pPr>
        <w:spacing w:line="480" w:lineRule="auto"/>
        <w:ind w:firstLine="720"/>
        <w:jc w:val="both"/>
        <w:rPr>
          <w:rFonts w:cs="Times New Roman"/>
          <w:szCs w:val="24"/>
        </w:rPr>
      </w:pPr>
      <w:r w:rsidRPr="00D27D9E">
        <w:rPr>
          <w:rFonts w:cs="Times New Roman"/>
          <w:szCs w:val="24"/>
        </w:rPr>
        <w:t>I agree that interaction between private and public sectors in the United States can ensure that the healthcare quality provided is advanced. For instance, replacing fees for service with capitation can help in solving major payment issues.</w:t>
      </w:r>
      <w:r w:rsidRPr="00D27D9E">
        <w:rPr>
          <w:rFonts w:cs="Times New Roman"/>
          <w:szCs w:val="24"/>
          <w:shd w:val="clear" w:color="auto" w:fill="FFFFFF"/>
        </w:rPr>
        <w:t xml:space="preserve"> the capitation refers to a type of payment system where a physician, a medical institution, or doctor is paid a fixed amount of money per patient for a certain period of services, timed by a physician association or an insurer. Fee-for-service is a payment system where services are unbundled and are paid for separately. Based on research by (Feldhaus et al, 2018), the payment systems for providers are characterized by the payment methods utilized that are associated with different incentives offered by those providers.</w:t>
      </w:r>
    </w:p>
    <w:p w14:paraId="1AE8B015" w14:textId="77777777" w:rsidR="00FB4479" w:rsidRDefault="00FB4479" w:rsidP="00FB4479">
      <w:pPr>
        <w:spacing w:line="480" w:lineRule="auto"/>
        <w:ind w:firstLine="720"/>
        <w:jc w:val="both"/>
        <w:rPr>
          <w:rFonts w:cs="Times New Roman"/>
          <w:szCs w:val="24"/>
        </w:rPr>
      </w:pPr>
    </w:p>
    <w:p w14:paraId="087676C6" w14:textId="77777777" w:rsidR="00FB4479" w:rsidRDefault="00FB4479" w:rsidP="00FB4479">
      <w:pPr>
        <w:spacing w:line="480" w:lineRule="auto"/>
        <w:ind w:firstLine="720"/>
        <w:jc w:val="both"/>
        <w:rPr>
          <w:rFonts w:cs="Times New Roman"/>
          <w:szCs w:val="24"/>
        </w:rPr>
      </w:pPr>
    </w:p>
    <w:p w14:paraId="65E425A9" w14:textId="77777777" w:rsidR="00FB4479" w:rsidRDefault="00FB4479" w:rsidP="00FB4479">
      <w:pPr>
        <w:spacing w:line="480" w:lineRule="auto"/>
        <w:ind w:firstLine="720"/>
        <w:jc w:val="both"/>
        <w:rPr>
          <w:rFonts w:cs="Times New Roman"/>
          <w:szCs w:val="24"/>
        </w:rPr>
      </w:pPr>
    </w:p>
    <w:p w14:paraId="308F4D61" w14:textId="77777777" w:rsidR="00FB4479" w:rsidRDefault="00FB4479" w:rsidP="00FB4479">
      <w:pPr>
        <w:spacing w:line="480" w:lineRule="auto"/>
        <w:ind w:firstLine="720"/>
        <w:jc w:val="both"/>
        <w:rPr>
          <w:rFonts w:cs="Times New Roman"/>
          <w:szCs w:val="24"/>
        </w:rPr>
      </w:pPr>
    </w:p>
    <w:p w14:paraId="624551A1" w14:textId="77777777" w:rsidR="00FB4479" w:rsidRDefault="00FB4479" w:rsidP="00FB4479">
      <w:pPr>
        <w:spacing w:line="480" w:lineRule="auto"/>
        <w:ind w:firstLine="720"/>
        <w:jc w:val="both"/>
        <w:rPr>
          <w:rFonts w:cs="Times New Roman"/>
          <w:szCs w:val="24"/>
        </w:rPr>
      </w:pPr>
    </w:p>
    <w:p w14:paraId="39E0878D" w14:textId="77777777" w:rsidR="00FB4479" w:rsidRDefault="00FB4479" w:rsidP="00FB4479">
      <w:pPr>
        <w:spacing w:line="480" w:lineRule="auto"/>
        <w:ind w:firstLine="720"/>
        <w:jc w:val="both"/>
        <w:rPr>
          <w:rFonts w:cs="Times New Roman"/>
          <w:szCs w:val="24"/>
        </w:rPr>
      </w:pPr>
    </w:p>
    <w:p w14:paraId="73375D02" w14:textId="18596E13" w:rsidR="00FB4479" w:rsidRPr="00D27D9E" w:rsidRDefault="00006689" w:rsidP="00FB4479">
      <w:pPr>
        <w:spacing w:line="480" w:lineRule="auto"/>
        <w:ind w:firstLine="720"/>
        <w:jc w:val="both"/>
        <w:rPr>
          <w:rFonts w:cs="Times New Roman"/>
          <w:szCs w:val="24"/>
        </w:rPr>
      </w:pPr>
      <w:r w:rsidRPr="00D27D9E">
        <w:rPr>
          <w:rFonts w:cs="Times New Roman"/>
          <w:szCs w:val="24"/>
        </w:rPr>
        <w:t>Reference</w:t>
      </w:r>
    </w:p>
    <w:p w14:paraId="7A272476" w14:textId="77777777" w:rsidR="00294803" w:rsidRPr="00D27D9E" w:rsidRDefault="00006689" w:rsidP="00D27D9E">
      <w:pPr>
        <w:spacing w:line="480" w:lineRule="auto"/>
        <w:ind w:left="720" w:firstLine="720"/>
        <w:jc w:val="both"/>
        <w:rPr>
          <w:rFonts w:cs="Times New Roman"/>
          <w:color w:val="222222"/>
          <w:szCs w:val="24"/>
          <w:shd w:val="clear" w:color="auto" w:fill="FFFFFF"/>
        </w:rPr>
      </w:pPr>
      <w:r w:rsidRPr="00D27D9E">
        <w:rPr>
          <w:rFonts w:cs="Times New Roman"/>
          <w:color w:val="222222"/>
          <w:szCs w:val="24"/>
          <w:shd w:val="clear" w:color="auto" w:fill="FFFFFF"/>
        </w:rPr>
        <w:lastRenderedPageBreak/>
        <w:t xml:space="preserve">Feldhaus, I., &amp; Mathauer, I. (2018). Effects of mixed provider payment systems and aligned cost-sharing practices on expenditure growth management, efficiency, and equity: a structured review of the literature. </w:t>
      </w:r>
      <w:r w:rsidRPr="00D27D9E">
        <w:rPr>
          <w:rFonts w:cs="Times New Roman"/>
          <w:i/>
          <w:iCs/>
          <w:color w:val="222222"/>
          <w:szCs w:val="24"/>
          <w:shd w:val="clear" w:color="auto" w:fill="FFFFFF"/>
        </w:rPr>
        <w:t>BMC health services research</w:t>
      </w:r>
      <w:r w:rsidRPr="00D27D9E">
        <w:rPr>
          <w:rFonts w:cs="Times New Roman"/>
          <w:color w:val="222222"/>
          <w:szCs w:val="24"/>
          <w:shd w:val="clear" w:color="auto" w:fill="FFFFFF"/>
        </w:rPr>
        <w:t>, </w:t>
      </w:r>
      <w:r w:rsidRPr="00D27D9E">
        <w:rPr>
          <w:rFonts w:cs="Times New Roman"/>
          <w:i/>
          <w:iCs/>
          <w:color w:val="222222"/>
          <w:szCs w:val="24"/>
          <w:shd w:val="clear" w:color="auto" w:fill="FFFFFF"/>
        </w:rPr>
        <w:t>18</w:t>
      </w:r>
      <w:r w:rsidRPr="00D27D9E">
        <w:rPr>
          <w:rFonts w:cs="Times New Roman"/>
          <w:color w:val="222222"/>
          <w:szCs w:val="24"/>
          <w:shd w:val="clear" w:color="auto" w:fill="FFFFFF"/>
        </w:rPr>
        <w:t>(1), 1-14.</w:t>
      </w:r>
    </w:p>
    <w:p w14:paraId="2CB52457" w14:textId="77777777" w:rsidR="00294803" w:rsidRPr="00D27D9E" w:rsidRDefault="00006689" w:rsidP="00D27D9E">
      <w:pPr>
        <w:spacing w:line="480" w:lineRule="auto"/>
        <w:ind w:left="720" w:firstLine="720"/>
        <w:jc w:val="both"/>
        <w:rPr>
          <w:rFonts w:cs="Times New Roman"/>
          <w:color w:val="222222"/>
          <w:szCs w:val="24"/>
          <w:shd w:val="clear" w:color="auto" w:fill="FFFFFF"/>
        </w:rPr>
      </w:pPr>
      <w:r w:rsidRPr="00D27D9E">
        <w:rPr>
          <w:rFonts w:cs="Times New Roman"/>
          <w:color w:val="222222"/>
          <w:szCs w:val="24"/>
          <w:shd w:val="clear" w:color="auto" w:fill="FFFFFF"/>
        </w:rPr>
        <w:t>Silver, G. A. (2018). Ordering Social Objectives: National Health Service and National Health Insurance as Policy Options in Organizing the Medical Care System. </w:t>
      </w:r>
      <w:r w:rsidRPr="00D27D9E">
        <w:rPr>
          <w:rFonts w:cs="Times New Roman"/>
          <w:i/>
          <w:iCs/>
          <w:color w:val="222222"/>
          <w:szCs w:val="24"/>
          <w:shd w:val="clear" w:color="auto" w:fill="FFFFFF"/>
        </w:rPr>
        <w:t>The Yale journal of biology and medicine</w:t>
      </w:r>
      <w:r w:rsidRPr="00D27D9E">
        <w:rPr>
          <w:rFonts w:cs="Times New Roman"/>
          <w:color w:val="222222"/>
          <w:szCs w:val="24"/>
          <w:shd w:val="clear" w:color="auto" w:fill="FFFFFF"/>
        </w:rPr>
        <w:t>, </w:t>
      </w:r>
      <w:r w:rsidRPr="00D27D9E">
        <w:rPr>
          <w:rFonts w:cs="Times New Roman"/>
          <w:i/>
          <w:iCs/>
          <w:color w:val="222222"/>
          <w:szCs w:val="24"/>
          <w:shd w:val="clear" w:color="auto" w:fill="FFFFFF"/>
        </w:rPr>
        <w:t>51</w:t>
      </w:r>
      <w:r w:rsidRPr="00D27D9E">
        <w:rPr>
          <w:rFonts w:cs="Times New Roman"/>
          <w:color w:val="222222"/>
          <w:szCs w:val="24"/>
          <w:shd w:val="clear" w:color="auto" w:fill="FFFFFF"/>
        </w:rPr>
        <w:t>(2), 177.</w:t>
      </w:r>
    </w:p>
    <w:p w14:paraId="08993F89" w14:textId="77777777" w:rsidR="00294803" w:rsidRPr="00D27D9E" w:rsidRDefault="00294803" w:rsidP="00D27D9E">
      <w:pPr>
        <w:spacing w:line="480" w:lineRule="auto"/>
        <w:ind w:firstLine="720"/>
        <w:jc w:val="both"/>
        <w:rPr>
          <w:rFonts w:cs="Times New Roman"/>
          <w:szCs w:val="24"/>
        </w:rPr>
      </w:pPr>
    </w:p>
    <w:p w14:paraId="7BB3B9C0" w14:textId="77777777" w:rsidR="00686E1E" w:rsidRDefault="00686E1E" w:rsidP="00686E1E"/>
    <w:p w14:paraId="164FF70D" w14:textId="77777777" w:rsidR="00686E1E" w:rsidRDefault="00686E1E" w:rsidP="00686E1E"/>
    <w:p w14:paraId="2D4D1729" w14:textId="77777777" w:rsidR="00686E1E" w:rsidRDefault="00686E1E"/>
    <w:sectPr w:rsidR="00686E1E" w:rsidSect="00D27D9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8DFA6" w14:textId="77777777" w:rsidR="00FF2B02" w:rsidRDefault="00FF2B02">
      <w:pPr>
        <w:spacing w:after="0" w:line="240" w:lineRule="auto"/>
      </w:pPr>
      <w:r>
        <w:separator/>
      </w:r>
    </w:p>
  </w:endnote>
  <w:endnote w:type="continuationSeparator" w:id="0">
    <w:p w14:paraId="404A30B8" w14:textId="77777777" w:rsidR="00FF2B02" w:rsidRDefault="00FF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67AC" w14:textId="77777777" w:rsidR="00FF2B02" w:rsidRDefault="00FF2B02">
      <w:pPr>
        <w:spacing w:after="0" w:line="240" w:lineRule="auto"/>
      </w:pPr>
      <w:r>
        <w:separator/>
      </w:r>
    </w:p>
  </w:footnote>
  <w:footnote w:type="continuationSeparator" w:id="0">
    <w:p w14:paraId="536A08D7" w14:textId="77777777" w:rsidR="00FF2B02" w:rsidRDefault="00FF2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208615"/>
      <w:docPartObj>
        <w:docPartGallery w:val="Page Numbers (Top of Page)"/>
        <w:docPartUnique/>
      </w:docPartObj>
    </w:sdtPr>
    <w:sdtEndPr>
      <w:rPr>
        <w:noProof/>
      </w:rPr>
    </w:sdtEndPr>
    <w:sdtContent>
      <w:p w14:paraId="10E34064" w14:textId="58014D98" w:rsidR="00D27D9E" w:rsidRDefault="000066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20654D" w14:textId="77777777" w:rsidR="00D27D9E" w:rsidRDefault="00D27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DA3C" w14:textId="4B5BE76D" w:rsidR="00D27D9E" w:rsidRDefault="00006689">
    <w:pPr>
      <w:pStyle w:val="Header"/>
    </w:pPr>
    <w:r>
      <w:t>Running head: RESPONSE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C0"/>
    <w:rsid w:val="00006689"/>
    <w:rsid w:val="00067AC0"/>
    <w:rsid w:val="00087817"/>
    <w:rsid w:val="000D4477"/>
    <w:rsid w:val="00294803"/>
    <w:rsid w:val="00323D1A"/>
    <w:rsid w:val="00686E1E"/>
    <w:rsid w:val="00745175"/>
    <w:rsid w:val="00907747"/>
    <w:rsid w:val="00B9020B"/>
    <w:rsid w:val="00D27D9E"/>
    <w:rsid w:val="00E1261D"/>
    <w:rsid w:val="00F21F45"/>
    <w:rsid w:val="00FB4479"/>
    <w:rsid w:val="00FF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555A8"/>
  <w15:chartTrackingRefBased/>
  <w15:docId w15:val="{38BCE9F5-8C3C-48A1-BD8C-6F761470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D9E"/>
  </w:style>
  <w:style w:type="paragraph" w:styleId="Footer">
    <w:name w:val="footer"/>
    <w:basedOn w:val="Normal"/>
    <w:link w:val="FooterChar"/>
    <w:uiPriority w:val="99"/>
    <w:unhideWhenUsed/>
    <w:rsid w:val="00D27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2021-06-27T04:10:00Z</dcterms:created>
  <dcterms:modified xsi:type="dcterms:W3CDTF">2021-06-27T04:10:00Z</dcterms:modified>
</cp:coreProperties>
</file>