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5B61AE04" w:rsidR="00DB3A96" w:rsidRPr="00BE14FA" w:rsidRDefault="00E83DE6" w:rsidP="00DB3A96">
      <w:pPr>
        <w:spacing w:line="480" w:lineRule="auto"/>
        <w:ind w:firstLine="720"/>
        <w:jc w:val="center"/>
        <w:rPr>
          <w:b/>
        </w:rPr>
      </w:pPr>
      <w:r w:rsidRPr="00E83DE6">
        <w:rPr>
          <w:b/>
        </w:rPr>
        <w:t>Responses to POA and Medicare Articles</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DC34E11" w14:textId="1D19ECFE" w:rsidR="00A32E36" w:rsidRDefault="00E83DE6" w:rsidP="00F96BD8">
      <w:pPr>
        <w:tabs>
          <w:tab w:val="left" w:pos="5205"/>
        </w:tabs>
        <w:spacing w:line="480" w:lineRule="auto"/>
        <w:ind w:firstLine="720"/>
        <w:jc w:val="center"/>
      </w:pPr>
      <w:r>
        <w:lastRenderedPageBreak/>
        <w:t>Responses to POA and Medicare Articles</w:t>
      </w:r>
    </w:p>
    <w:p w14:paraId="5F3ECEFD" w14:textId="7C3861F7" w:rsidR="005D0D58" w:rsidRPr="005D0D58" w:rsidRDefault="005D0D58" w:rsidP="00F96BD8">
      <w:pPr>
        <w:tabs>
          <w:tab w:val="left" w:pos="5205"/>
        </w:tabs>
        <w:spacing w:line="480" w:lineRule="auto"/>
        <w:ind w:firstLine="720"/>
        <w:jc w:val="center"/>
        <w:rPr>
          <w:b/>
        </w:rPr>
      </w:pPr>
      <w:r w:rsidRPr="005D0D58">
        <w:rPr>
          <w:b/>
        </w:rPr>
        <w:t>Present On Admission</w:t>
      </w:r>
    </w:p>
    <w:p w14:paraId="2E83E436" w14:textId="77777777" w:rsidR="006936C9" w:rsidRPr="00D10E57" w:rsidRDefault="006936C9" w:rsidP="00022765">
      <w:pPr>
        <w:spacing w:line="480" w:lineRule="auto"/>
        <w:rPr>
          <w:rFonts w:eastAsia="Calibri"/>
          <w:b/>
        </w:rPr>
      </w:pPr>
      <w:r w:rsidRPr="00D10E57">
        <w:rPr>
          <w:rFonts w:eastAsia="Calibri"/>
          <w:b/>
        </w:rPr>
        <w:t xml:space="preserve">1. </w:t>
      </w:r>
      <w:r w:rsidR="00E83DE6" w:rsidRPr="00D10E57">
        <w:rPr>
          <w:rFonts w:eastAsia="Calibri"/>
          <w:b/>
        </w:rPr>
        <w:t xml:space="preserve">Describe what is present on admission (POA)? </w:t>
      </w:r>
      <w:r w:rsidRPr="00D10E57">
        <w:rPr>
          <w:rFonts w:eastAsia="Calibri"/>
          <w:b/>
        </w:rPr>
        <w:t xml:space="preserve"> </w:t>
      </w:r>
    </w:p>
    <w:p w14:paraId="303B594A" w14:textId="105ABC91" w:rsidR="006936C9" w:rsidRDefault="00022765" w:rsidP="00022765">
      <w:pPr>
        <w:spacing w:line="480" w:lineRule="auto"/>
        <w:rPr>
          <w:rFonts w:eastAsia="Calibri"/>
        </w:rPr>
      </w:pPr>
      <w:r>
        <w:rPr>
          <w:rFonts w:eastAsia="Calibri"/>
        </w:rPr>
        <w:t>Present on Admission (POA) refers to the medical conditions found in a patient during the process of in-patient admission.</w:t>
      </w:r>
    </w:p>
    <w:p w14:paraId="0E002F94" w14:textId="77777777" w:rsidR="006936C9" w:rsidRPr="00D10E57" w:rsidRDefault="00E83DE6" w:rsidP="00022765">
      <w:pPr>
        <w:spacing w:line="480" w:lineRule="auto"/>
        <w:rPr>
          <w:rFonts w:eastAsia="Calibri"/>
          <w:b/>
        </w:rPr>
      </w:pPr>
      <w:r w:rsidRPr="00D10E57">
        <w:rPr>
          <w:rFonts w:eastAsia="Calibri"/>
          <w:b/>
        </w:rPr>
        <w:t xml:space="preserve">2. What is considered present on admission? </w:t>
      </w:r>
    </w:p>
    <w:p w14:paraId="7BE9AA14" w14:textId="2218455D" w:rsidR="00F72CBB" w:rsidRDefault="00F72CBB" w:rsidP="00022765">
      <w:pPr>
        <w:spacing w:line="480" w:lineRule="auto"/>
        <w:rPr>
          <w:rFonts w:eastAsia="Calibri"/>
        </w:rPr>
      </w:pPr>
      <w:r>
        <w:rPr>
          <w:rFonts w:eastAsia="Calibri"/>
        </w:rPr>
        <w:t>Conditions considered present o admission are those that may develop during an outpatient encounter such as outpatient surgery, emergency department and observation.</w:t>
      </w:r>
    </w:p>
    <w:p w14:paraId="53EED7FE" w14:textId="77777777" w:rsidR="006936C9" w:rsidRPr="00D10E57" w:rsidRDefault="00E83DE6" w:rsidP="00022765">
      <w:pPr>
        <w:spacing w:line="480" w:lineRule="auto"/>
        <w:rPr>
          <w:rFonts w:eastAsia="Calibri"/>
          <w:b/>
        </w:rPr>
      </w:pPr>
      <w:r w:rsidRPr="00D10E57">
        <w:rPr>
          <w:rFonts w:eastAsia="Calibri"/>
          <w:b/>
        </w:rPr>
        <w:t xml:space="preserve">3. Explain the Healthcare Cost and Utilization Project's rationale behind present on admission (POA) indicators. </w:t>
      </w:r>
    </w:p>
    <w:p w14:paraId="5DF30A4E" w14:textId="09694FD5" w:rsidR="00D10E57" w:rsidRDefault="00D10E57" w:rsidP="00022765">
      <w:pPr>
        <w:spacing w:line="480" w:lineRule="auto"/>
        <w:rPr>
          <w:rFonts w:eastAsia="Calibri"/>
        </w:rPr>
      </w:pPr>
      <w:r>
        <w:rPr>
          <w:rFonts w:eastAsia="Calibri"/>
        </w:rPr>
        <w:t xml:space="preserve">The Healthcare Cost and Utilization Project </w:t>
      </w:r>
      <w:r w:rsidR="00EB0B4B">
        <w:rPr>
          <w:rFonts w:eastAsia="Calibri"/>
        </w:rPr>
        <w:t xml:space="preserve">created the indicators in an explicit manner to avoid the confusion that may arise with various physicians. Yes and No codes are clear and easy to follow, but </w:t>
      </w:r>
      <w:r w:rsidR="00EA50F8">
        <w:rPr>
          <w:rFonts w:eastAsia="Calibri"/>
        </w:rPr>
        <w:t>the Healthcare</w:t>
      </w:r>
      <w:r w:rsidR="00EB0B4B">
        <w:rPr>
          <w:rFonts w:eastAsia="Calibri"/>
        </w:rPr>
        <w:t xml:space="preserve"> Cost and Utilization Project considered the possibility where the physician could not record yes or no, such as </w:t>
      </w:r>
      <w:r w:rsidR="00EA50F8">
        <w:rPr>
          <w:rFonts w:eastAsia="Calibri"/>
        </w:rPr>
        <w:t>when condition</w:t>
      </w:r>
      <w:r w:rsidR="00EB0B4B">
        <w:rPr>
          <w:rFonts w:eastAsia="Calibri"/>
        </w:rPr>
        <w:t xml:space="preserve"> is not known, or the physician is having difficulties </w:t>
      </w:r>
      <w:r w:rsidR="004436B1">
        <w:rPr>
          <w:rFonts w:eastAsia="Calibri"/>
        </w:rPr>
        <w:t>establishing what the condition is</w:t>
      </w:r>
      <w:r w:rsidR="005D0D58">
        <w:rPr>
          <w:rFonts w:eastAsia="Calibri"/>
        </w:rPr>
        <w:t xml:space="preserve"> (</w:t>
      </w:r>
      <w:r w:rsidR="005D0D58">
        <w:rPr>
          <w:rFonts w:eastAsia="Calibri"/>
          <w:bCs/>
        </w:rPr>
        <w:t xml:space="preserve">Garrett, </w:t>
      </w:r>
      <w:r w:rsidR="005D0D58" w:rsidRPr="005D0D58">
        <w:rPr>
          <w:rFonts w:eastAsia="Calibri"/>
          <w:bCs/>
        </w:rPr>
        <w:t>2009)</w:t>
      </w:r>
      <w:r w:rsidR="004436B1">
        <w:rPr>
          <w:rFonts w:eastAsia="Calibri"/>
        </w:rPr>
        <w:t>.</w:t>
      </w:r>
    </w:p>
    <w:p w14:paraId="2E23CB81" w14:textId="53B08A65" w:rsidR="006936C9" w:rsidRPr="00EA50F8" w:rsidRDefault="00E83DE6" w:rsidP="00022765">
      <w:pPr>
        <w:spacing w:line="480" w:lineRule="auto"/>
        <w:rPr>
          <w:rFonts w:eastAsia="Calibri"/>
          <w:b/>
        </w:rPr>
      </w:pPr>
      <w:r w:rsidRPr="00EA50F8">
        <w:rPr>
          <w:rFonts w:eastAsia="Calibri"/>
          <w:b/>
        </w:rPr>
        <w:t xml:space="preserve">4. How does an incorrect POA affect the </w:t>
      </w:r>
      <w:r w:rsidR="006936C9" w:rsidRPr="00EA50F8">
        <w:rPr>
          <w:rFonts w:eastAsia="Calibri"/>
          <w:b/>
        </w:rPr>
        <w:t>reimbursement?</w:t>
      </w:r>
    </w:p>
    <w:p w14:paraId="36BA1CBC" w14:textId="50FAFB83" w:rsidR="00D10E57" w:rsidRDefault="000A4BF1" w:rsidP="00022765">
      <w:pPr>
        <w:spacing w:line="480" w:lineRule="auto"/>
        <w:rPr>
          <w:rFonts w:eastAsia="Calibri"/>
        </w:rPr>
      </w:pPr>
      <w:r>
        <w:rPr>
          <w:rFonts w:eastAsia="Calibri"/>
        </w:rPr>
        <w:t xml:space="preserve">An incorrect POA </w:t>
      </w:r>
      <w:r w:rsidR="00616126">
        <w:rPr>
          <w:rFonts w:eastAsia="Calibri"/>
        </w:rPr>
        <w:t>will affect the reimbursement of the funds a healthcare organization has used in the process of providing healthcare to its patients, in that, since the government offers to provide reimbursement on treatment of conditions that were present at the time of admission, the organization may get more compensation, or less than it should</w:t>
      </w:r>
      <w:r w:rsidR="005D0D58">
        <w:rPr>
          <w:rFonts w:eastAsia="Calibri"/>
        </w:rPr>
        <w:t xml:space="preserve"> (</w:t>
      </w:r>
      <w:r w:rsidR="005D0D58">
        <w:rPr>
          <w:rFonts w:eastAsia="Calibri"/>
          <w:bCs/>
        </w:rPr>
        <w:t xml:space="preserve">Garrett, </w:t>
      </w:r>
      <w:r w:rsidR="005D0D58" w:rsidRPr="005D0D58">
        <w:rPr>
          <w:rFonts w:eastAsia="Calibri"/>
          <w:bCs/>
        </w:rPr>
        <w:t>2009)</w:t>
      </w:r>
      <w:r w:rsidR="00616126">
        <w:rPr>
          <w:rFonts w:eastAsia="Calibri"/>
        </w:rPr>
        <w:t>. When audit is conducted, discrepancies may appear and the government may decide to sue the organization or cease releasing funds to it.</w:t>
      </w:r>
    </w:p>
    <w:p w14:paraId="1A9909CA" w14:textId="77777777" w:rsidR="00616126" w:rsidRPr="00EB0B4B" w:rsidRDefault="00616126" w:rsidP="00616126">
      <w:pPr>
        <w:spacing w:line="480" w:lineRule="auto"/>
        <w:rPr>
          <w:rFonts w:eastAsia="Calibri"/>
          <w:b/>
        </w:rPr>
      </w:pPr>
      <w:r w:rsidRPr="00EB0B4B">
        <w:rPr>
          <w:rFonts w:eastAsia="Calibri"/>
          <w:b/>
        </w:rPr>
        <w:t>5. Read this article from AHIMA and discuss the five indicators.</w:t>
      </w:r>
    </w:p>
    <w:p w14:paraId="294FED75" w14:textId="2B3A04FF" w:rsidR="00616126" w:rsidRDefault="00616126" w:rsidP="00022765">
      <w:pPr>
        <w:spacing w:line="480" w:lineRule="auto"/>
        <w:rPr>
          <w:rFonts w:eastAsia="Calibri"/>
        </w:rPr>
      </w:pPr>
      <w:r>
        <w:rPr>
          <w:rFonts w:eastAsia="Calibri"/>
        </w:rPr>
        <w:t>The POA indicators as provided by the</w:t>
      </w:r>
      <w:r w:rsidRPr="00616126">
        <w:rPr>
          <w:rFonts w:eastAsia="Calibri"/>
        </w:rPr>
        <w:t xml:space="preserve"> Deficit Reduction Act of 2005</w:t>
      </w:r>
      <w:r>
        <w:rPr>
          <w:rFonts w:eastAsia="Calibri"/>
        </w:rPr>
        <w:t xml:space="preserve"> are:</w:t>
      </w:r>
    </w:p>
    <w:p w14:paraId="6BDE654E" w14:textId="06EB1162" w:rsidR="00616126" w:rsidRDefault="00616126" w:rsidP="00022765">
      <w:pPr>
        <w:spacing w:line="480" w:lineRule="auto"/>
        <w:rPr>
          <w:rFonts w:eastAsia="Calibri"/>
        </w:rPr>
      </w:pPr>
      <w:r>
        <w:rPr>
          <w:rFonts w:eastAsia="Calibri"/>
        </w:rPr>
        <w:t>Y – Representing “yes” to indicate that a condition was present on admission.</w:t>
      </w:r>
    </w:p>
    <w:p w14:paraId="4D47FB04" w14:textId="6EC9D5DC" w:rsidR="00616126" w:rsidRDefault="003C7D0E" w:rsidP="00022765">
      <w:pPr>
        <w:spacing w:line="480" w:lineRule="auto"/>
        <w:rPr>
          <w:rFonts w:eastAsia="Calibri"/>
        </w:rPr>
      </w:pPr>
      <w:r>
        <w:rPr>
          <w:rFonts w:eastAsia="Calibri"/>
        </w:rPr>
        <w:t>N – Representing “no” to indicate that a condition was not present on admission.</w:t>
      </w:r>
    </w:p>
    <w:p w14:paraId="378C86A3" w14:textId="77777777" w:rsidR="003C7D0E" w:rsidRDefault="003C7D0E" w:rsidP="00022765">
      <w:pPr>
        <w:spacing w:line="480" w:lineRule="auto"/>
        <w:rPr>
          <w:rFonts w:eastAsia="Calibri"/>
        </w:rPr>
      </w:pPr>
      <w:r>
        <w:rPr>
          <w:rFonts w:eastAsia="Calibri"/>
        </w:rPr>
        <w:t>U – Representing “unknown” to indicate that it was not known whether the condition was present or not on admission.</w:t>
      </w:r>
    </w:p>
    <w:p w14:paraId="0242980B" w14:textId="77777777" w:rsidR="003C7D0E" w:rsidRDefault="003C7D0E" w:rsidP="00022765">
      <w:pPr>
        <w:spacing w:line="480" w:lineRule="auto"/>
        <w:rPr>
          <w:rFonts w:eastAsia="Calibri"/>
        </w:rPr>
      </w:pPr>
      <w:r>
        <w:rPr>
          <w:rFonts w:eastAsia="Calibri"/>
        </w:rPr>
        <w:t>W – Representing “clinically undetermined” to indicate that it was not clear whether the patient had the condition at the time of admission.</w:t>
      </w:r>
    </w:p>
    <w:p w14:paraId="692C3F35" w14:textId="2CF956D0" w:rsidR="003C7D0E" w:rsidRDefault="003C7D0E" w:rsidP="00022765">
      <w:pPr>
        <w:spacing w:line="480" w:lineRule="auto"/>
        <w:rPr>
          <w:rFonts w:eastAsia="Calibri"/>
        </w:rPr>
      </w:pPr>
      <w:r>
        <w:rPr>
          <w:rFonts w:eastAsia="Calibri"/>
        </w:rPr>
        <w:t xml:space="preserve">1/blank – Exempt from POA recording. </w:t>
      </w:r>
    </w:p>
    <w:p w14:paraId="7A5575A5" w14:textId="22CE4BCD" w:rsidR="00616126" w:rsidRPr="005D0D58" w:rsidRDefault="00616126" w:rsidP="005D0D58">
      <w:pPr>
        <w:spacing w:line="480" w:lineRule="auto"/>
        <w:jc w:val="center"/>
        <w:rPr>
          <w:rFonts w:eastAsia="Calibri"/>
          <w:b/>
        </w:rPr>
      </w:pPr>
      <w:r w:rsidRPr="005D0D58">
        <w:rPr>
          <w:rFonts w:eastAsia="Calibri"/>
          <w:b/>
        </w:rPr>
        <w:t>Medicare</w:t>
      </w:r>
    </w:p>
    <w:p w14:paraId="787037F5" w14:textId="77777777" w:rsidR="00C52074" w:rsidRPr="005D0D58" w:rsidRDefault="00C52074" w:rsidP="00022765">
      <w:pPr>
        <w:spacing w:line="480" w:lineRule="auto"/>
        <w:rPr>
          <w:rFonts w:eastAsia="Calibri"/>
          <w:b/>
        </w:rPr>
      </w:pPr>
      <w:r w:rsidRPr="005D0D58">
        <w:rPr>
          <w:rFonts w:eastAsia="Calibri"/>
          <w:b/>
        </w:rPr>
        <w:t>1. What is Medicare?</w:t>
      </w:r>
    </w:p>
    <w:p w14:paraId="76F1D381" w14:textId="42F87B55" w:rsidR="00C52074" w:rsidRDefault="00C52074" w:rsidP="00022765">
      <w:pPr>
        <w:spacing w:line="480" w:lineRule="auto"/>
        <w:rPr>
          <w:rFonts w:eastAsia="Calibri"/>
        </w:rPr>
      </w:pPr>
      <w:r>
        <w:rPr>
          <w:rFonts w:eastAsia="Calibri"/>
        </w:rPr>
        <w:t>Medicare is a health insurance program provided by the federal government to people who are 65 and above years old, young people with disabilities, and people living with End-Stage Renal Disease.</w:t>
      </w:r>
    </w:p>
    <w:p w14:paraId="1C8D8470" w14:textId="77777777" w:rsidR="00C52074" w:rsidRPr="005D0D58" w:rsidRDefault="00C52074" w:rsidP="00022765">
      <w:pPr>
        <w:spacing w:line="480" w:lineRule="auto"/>
        <w:rPr>
          <w:rFonts w:eastAsia="Calibri"/>
          <w:b/>
        </w:rPr>
      </w:pPr>
      <w:r w:rsidRPr="005D0D58">
        <w:rPr>
          <w:rFonts w:eastAsia="Calibri"/>
          <w:b/>
        </w:rPr>
        <w:t xml:space="preserve">2. Which group of people receive Medicare services, what additional services are covered by some Medicare Advantage plans? </w:t>
      </w:r>
    </w:p>
    <w:p w14:paraId="51A03ED3" w14:textId="049EFFEA" w:rsidR="00C52074" w:rsidRDefault="00C52074" w:rsidP="00022765">
      <w:pPr>
        <w:spacing w:line="480" w:lineRule="auto"/>
        <w:rPr>
          <w:rFonts w:eastAsia="Calibri"/>
        </w:rPr>
      </w:pPr>
      <w:r>
        <w:rPr>
          <w:rFonts w:eastAsia="Calibri"/>
        </w:rPr>
        <w:t>Groups of people that would receive Medicare services include people who are 65 or older, certain young people with disabilities, people with a permanent kidney failure that would need transplant or a dialysis</w:t>
      </w:r>
      <w:r w:rsidR="00226B30">
        <w:rPr>
          <w:rFonts w:eastAsia="Calibri"/>
        </w:rPr>
        <w:t xml:space="preserve"> (</w:t>
      </w:r>
      <w:r w:rsidR="00226B30" w:rsidRPr="005D0D58">
        <w:rPr>
          <w:rFonts w:eastAsia="Calibri"/>
          <w:bCs/>
        </w:rPr>
        <w:t>Werner</w:t>
      </w:r>
      <w:r w:rsidR="00226B30">
        <w:rPr>
          <w:rFonts w:eastAsia="Calibri"/>
          <w:bCs/>
        </w:rPr>
        <w:t xml:space="preserve"> &amp; Konetzka, </w:t>
      </w:r>
      <w:r w:rsidR="00226B30" w:rsidRPr="005D0D58">
        <w:rPr>
          <w:rFonts w:eastAsia="Calibri"/>
          <w:bCs/>
        </w:rPr>
        <w:t>2018)</w:t>
      </w:r>
      <w:r>
        <w:rPr>
          <w:rFonts w:eastAsia="Calibri"/>
        </w:rPr>
        <w:t>. Medicare Advantage plans have additional services which include treatment for visual, hearing and dental conditions</w:t>
      </w:r>
      <w:r w:rsidR="00737288">
        <w:rPr>
          <w:rFonts w:eastAsia="Calibri"/>
        </w:rPr>
        <w:t>, and fitness programs</w:t>
      </w:r>
      <w:r>
        <w:rPr>
          <w:rFonts w:eastAsia="Calibri"/>
        </w:rPr>
        <w:t xml:space="preserve">. </w:t>
      </w:r>
    </w:p>
    <w:p w14:paraId="37B9362B" w14:textId="77777777" w:rsidR="00737288" w:rsidRPr="005D0D58" w:rsidRDefault="00C52074" w:rsidP="00022765">
      <w:pPr>
        <w:spacing w:line="480" w:lineRule="auto"/>
        <w:rPr>
          <w:rFonts w:eastAsia="Calibri"/>
          <w:b/>
        </w:rPr>
      </w:pPr>
      <w:r w:rsidRPr="005D0D58">
        <w:rPr>
          <w:rFonts w:eastAsia="Calibri"/>
          <w:b/>
        </w:rPr>
        <w:t>3. Go to the left navigational bar under "Types of Medicare Health Plans" and click on "Medicare Advantage plans". What are these services offered under Medicare Advantage describe the different types of Medicare Advantage plans available and give examples?</w:t>
      </w:r>
    </w:p>
    <w:p w14:paraId="4D1E511C" w14:textId="46439C26" w:rsidR="00C52074" w:rsidRDefault="00737288" w:rsidP="00022765">
      <w:pPr>
        <w:spacing w:line="480" w:lineRule="auto"/>
        <w:rPr>
          <w:rFonts w:eastAsia="Calibri"/>
        </w:rPr>
      </w:pPr>
      <w:r>
        <w:rPr>
          <w:rFonts w:eastAsia="Calibri"/>
        </w:rPr>
        <w:t>Health Maintenance Organization (HMO) plan only offers healthcare and other health services within the plan’s network</w:t>
      </w:r>
      <w:r w:rsidR="00C52074" w:rsidRPr="00C52074">
        <w:rPr>
          <w:rFonts w:eastAsia="Calibri"/>
        </w:rPr>
        <w:t xml:space="preserve"> </w:t>
      </w:r>
      <w:r>
        <w:rPr>
          <w:rFonts w:eastAsia="Calibri"/>
        </w:rPr>
        <w:t>except on emergency care, out-of-area dialysis, and out-of-area urgent care</w:t>
      </w:r>
      <w:r w:rsidR="00226B30">
        <w:rPr>
          <w:rFonts w:eastAsia="Calibri"/>
        </w:rPr>
        <w:t xml:space="preserve"> (</w:t>
      </w:r>
      <w:r w:rsidR="00226B30">
        <w:rPr>
          <w:rFonts w:eastAsia="Calibri"/>
          <w:bCs/>
        </w:rPr>
        <w:t>Willink</w:t>
      </w:r>
      <w:r w:rsidR="00226B30" w:rsidRPr="005D0D58">
        <w:rPr>
          <w:rFonts w:eastAsia="Calibri"/>
          <w:bCs/>
        </w:rPr>
        <w:t xml:space="preserve"> </w:t>
      </w:r>
      <w:r w:rsidR="00226B30">
        <w:rPr>
          <w:rFonts w:eastAsia="Calibri"/>
          <w:bCs/>
        </w:rPr>
        <w:t xml:space="preserve">et al., </w:t>
      </w:r>
      <w:r w:rsidR="00226B30" w:rsidRPr="005D0D58">
        <w:rPr>
          <w:rFonts w:eastAsia="Calibri"/>
          <w:bCs/>
        </w:rPr>
        <w:t>2018)</w:t>
      </w:r>
      <w:r>
        <w:rPr>
          <w:rFonts w:eastAsia="Calibri"/>
        </w:rPr>
        <w:t>.</w:t>
      </w:r>
      <w:r w:rsidR="008D2614">
        <w:rPr>
          <w:rFonts w:eastAsia="Calibri"/>
        </w:rPr>
        <w:t xml:space="preserve"> For example, if a patient has an illness that is not in the exception list, and their doctor is not within the HMO plan network, then the patient will not be covered by HMO.</w:t>
      </w:r>
    </w:p>
    <w:p w14:paraId="54466D45" w14:textId="14C37CA9" w:rsidR="008D2614" w:rsidRDefault="008D2614" w:rsidP="00022765">
      <w:pPr>
        <w:spacing w:line="480" w:lineRule="auto"/>
        <w:rPr>
          <w:rFonts w:eastAsia="Calibri"/>
        </w:rPr>
      </w:pPr>
      <w:r>
        <w:rPr>
          <w:rFonts w:eastAsia="Calibri"/>
        </w:rPr>
        <w:t>Preferred Provider Organization (PPO) plan is a part C Medicare Advantage plan that allows the patient choose the insurer as a private company</w:t>
      </w:r>
      <w:r w:rsidR="00226B30">
        <w:rPr>
          <w:rFonts w:eastAsia="Calibri"/>
        </w:rPr>
        <w:t xml:space="preserve"> (</w:t>
      </w:r>
      <w:r w:rsidR="00226B30" w:rsidRPr="005D0D58">
        <w:rPr>
          <w:rFonts w:eastAsia="Calibri"/>
          <w:bCs/>
        </w:rPr>
        <w:t xml:space="preserve">Czaja </w:t>
      </w:r>
      <w:r w:rsidR="00226B30">
        <w:rPr>
          <w:rFonts w:eastAsia="Calibri"/>
          <w:bCs/>
        </w:rPr>
        <w:t xml:space="preserve">et al., </w:t>
      </w:r>
      <w:r w:rsidR="00226B30" w:rsidRPr="005D0D58">
        <w:rPr>
          <w:rFonts w:eastAsia="Calibri"/>
          <w:bCs/>
        </w:rPr>
        <w:t>2008</w:t>
      </w:r>
      <w:r w:rsidR="00226B30">
        <w:rPr>
          <w:rFonts w:eastAsia="Calibri"/>
          <w:bCs/>
        </w:rPr>
        <w:t>)</w:t>
      </w:r>
      <w:r>
        <w:rPr>
          <w:rFonts w:eastAsia="Calibri"/>
        </w:rPr>
        <w:t>. The plan has its own network of physicians, nurses and other healthcare personnel allowing an individual to pay less when treated by members of the network and pay more when treated be non-members.</w:t>
      </w:r>
    </w:p>
    <w:p w14:paraId="208F9EAD" w14:textId="6D132621" w:rsidR="008D2614" w:rsidRPr="008D2614" w:rsidRDefault="008D2614" w:rsidP="008D2614">
      <w:pPr>
        <w:spacing w:line="480" w:lineRule="auto"/>
        <w:rPr>
          <w:rFonts w:eastAsia="Calibri"/>
        </w:rPr>
      </w:pPr>
      <w:r w:rsidRPr="008D2614">
        <w:rPr>
          <w:rFonts w:eastAsia="Calibri"/>
        </w:rPr>
        <w:t>Private Fee-for-Service (PFFS) Plans</w:t>
      </w:r>
      <w:r>
        <w:rPr>
          <w:rFonts w:eastAsia="Calibri"/>
        </w:rPr>
        <w:t xml:space="preserve"> also allows individuals to be insured by private companies but the plan sets how much it will pay the doctors and nurses and sets how m</w:t>
      </w:r>
      <w:r w:rsidR="00D755A3">
        <w:rPr>
          <w:rFonts w:eastAsia="Calibri"/>
        </w:rPr>
        <w:t>uch an individual should pay in order to receive care.</w:t>
      </w:r>
    </w:p>
    <w:p w14:paraId="0647DA4F" w14:textId="5E72444F" w:rsidR="008D2614" w:rsidRPr="008D2614" w:rsidRDefault="008D2614" w:rsidP="008D2614">
      <w:pPr>
        <w:spacing w:line="480" w:lineRule="auto"/>
        <w:rPr>
          <w:rFonts w:eastAsia="Calibri"/>
        </w:rPr>
      </w:pPr>
      <w:r w:rsidRPr="008D2614">
        <w:rPr>
          <w:rFonts w:eastAsia="Calibri"/>
        </w:rPr>
        <w:t>Special Needs Plans (SNPs)</w:t>
      </w:r>
      <w:r w:rsidR="00D755A3">
        <w:rPr>
          <w:rFonts w:eastAsia="Calibri"/>
        </w:rPr>
        <w:t xml:space="preserve"> plans are Medicare Advantage plans that limit their membership only to individuals who have certain conditions or characteristics</w:t>
      </w:r>
      <w:r w:rsidR="00226B30">
        <w:rPr>
          <w:rFonts w:eastAsia="Calibri"/>
        </w:rPr>
        <w:t xml:space="preserve"> (</w:t>
      </w:r>
      <w:r w:rsidR="00226B30" w:rsidRPr="005D0D58">
        <w:rPr>
          <w:rFonts w:eastAsia="Calibri"/>
          <w:bCs/>
        </w:rPr>
        <w:t>Werner</w:t>
      </w:r>
      <w:r w:rsidR="00226B30">
        <w:rPr>
          <w:rFonts w:eastAsia="Calibri"/>
          <w:bCs/>
        </w:rPr>
        <w:t xml:space="preserve"> &amp; Konetzka, </w:t>
      </w:r>
      <w:r w:rsidR="00226B30" w:rsidRPr="005D0D58">
        <w:rPr>
          <w:rFonts w:eastAsia="Calibri"/>
          <w:bCs/>
        </w:rPr>
        <w:t>2018)</w:t>
      </w:r>
      <w:r w:rsidR="00D755A3">
        <w:rPr>
          <w:rFonts w:eastAsia="Calibri"/>
        </w:rPr>
        <w:t>. For example Chronic Condition SNP is available for individuals with chronic diseases such as cancer, cardiovascular disorder, chronic heart failure, and dementia among others.</w:t>
      </w:r>
    </w:p>
    <w:p w14:paraId="5608B51B" w14:textId="6B91A68A" w:rsidR="00C52074" w:rsidRPr="005D0D58" w:rsidRDefault="00C52074" w:rsidP="00022765">
      <w:pPr>
        <w:spacing w:line="480" w:lineRule="auto"/>
        <w:rPr>
          <w:rFonts w:eastAsia="Calibri"/>
          <w:b/>
        </w:rPr>
      </w:pPr>
      <w:r w:rsidRPr="005D0D58">
        <w:rPr>
          <w:rFonts w:eastAsia="Calibri"/>
          <w:b/>
        </w:rPr>
        <w:t xml:space="preserve">4. List the four most </w:t>
      </w:r>
      <w:r w:rsidR="00C1419F" w:rsidRPr="005D0D58">
        <w:rPr>
          <w:rFonts w:eastAsia="Calibri"/>
          <w:b/>
        </w:rPr>
        <w:t>common types of Medicare fraud.</w:t>
      </w:r>
    </w:p>
    <w:p w14:paraId="1EB6F2E9" w14:textId="0AA65910" w:rsidR="00C1419F" w:rsidRDefault="00C1419F" w:rsidP="00022765">
      <w:pPr>
        <w:spacing w:line="480" w:lineRule="auto"/>
        <w:rPr>
          <w:rFonts w:eastAsia="Calibri"/>
        </w:rPr>
      </w:pPr>
      <w:r>
        <w:rPr>
          <w:rFonts w:eastAsia="Calibri"/>
        </w:rPr>
        <w:t>Billing fraud</w:t>
      </w:r>
    </w:p>
    <w:p w14:paraId="094DD9BA" w14:textId="0BAEE2C1" w:rsidR="00C1419F" w:rsidRDefault="00C1419F" w:rsidP="00022765">
      <w:pPr>
        <w:spacing w:line="480" w:lineRule="auto"/>
        <w:rPr>
          <w:rFonts w:eastAsia="Calibri"/>
          <w:bCs/>
        </w:rPr>
      </w:pPr>
      <w:r w:rsidRPr="00C1419F">
        <w:rPr>
          <w:rFonts w:eastAsia="Calibri"/>
          <w:bCs/>
        </w:rPr>
        <w:t>Falsification of patient diagnosis</w:t>
      </w:r>
    </w:p>
    <w:p w14:paraId="0C145DE7" w14:textId="28966B45" w:rsidR="00C1419F" w:rsidRDefault="00C1419F" w:rsidP="00022765">
      <w:pPr>
        <w:spacing w:line="480" w:lineRule="auto"/>
        <w:rPr>
          <w:rFonts w:eastAsia="Calibri"/>
          <w:bCs/>
        </w:rPr>
      </w:pPr>
      <w:r w:rsidRPr="00C1419F">
        <w:rPr>
          <w:rFonts w:eastAsia="Calibri"/>
          <w:bCs/>
        </w:rPr>
        <w:t>Unbundling of procedures</w:t>
      </w:r>
    </w:p>
    <w:p w14:paraId="20A78D8E" w14:textId="117A50A5" w:rsidR="00C1419F" w:rsidRPr="00C1419F" w:rsidRDefault="00C1419F" w:rsidP="00022765">
      <w:pPr>
        <w:spacing w:line="480" w:lineRule="auto"/>
        <w:rPr>
          <w:rFonts w:eastAsia="Calibri"/>
        </w:rPr>
      </w:pPr>
      <w:r w:rsidRPr="00C1419F">
        <w:rPr>
          <w:rFonts w:eastAsia="Calibri"/>
          <w:bCs/>
        </w:rPr>
        <w:t>Kickback fraud</w:t>
      </w:r>
    </w:p>
    <w:p w14:paraId="3CA2FC0B" w14:textId="77777777" w:rsidR="00C1419F" w:rsidRPr="005D0D58" w:rsidRDefault="00C52074" w:rsidP="00022765">
      <w:pPr>
        <w:spacing w:line="480" w:lineRule="auto"/>
        <w:rPr>
          <w:rFonts w:eastAsia="Calibri"/>
          <w:b/>
        </w:rPr>
      </w:pPr>
      <w:r w:rsidRPr="005D0D58">
        <w:rPr>
          <w:rFonts w:eastAsia="Calibri"/>
          <w:b/>
        </w:rPr>
        <w:t xml:space="preserve">5. List two types of Medicare abuse that are most common. </w:t>
      </w:r>
    </w:p>
    <w:p w14:paraId="07E5386A" w14:textId="511DB7D8" w:rsidR="00C1419F" w:rsidRDefault="00C1419F" w:rsidP="00022765">
      <w:pPr>
        <w:spacing w:line="480" w:lineRule="auto"/>
        <w:rPr>
          <w:rFonts w:eastAsia="Calibri"/>
        </w:rPr>
      </w:pPr>
      <w:r>
        <w:rPr>
          <w:rFonts w:eastAsia="Calibri"/>
        </w:rPr>
        <w:t>Overcharging for healthcare services and products</w:t>
      </w:r>
    </w:p>
    <w:p w14:paraId="4D6F17E6" w14:textId="0D80D73F" w:rsidR="00A32E36" w:rsidRDefault="00C1419F" w:rsidP="00022765">
      <w:pPr>
        <w:spacing w:line="480" w:lineRule="auto"/>
        <w:rPr>
          <w:rFonts w:eastAsia="Calibri"/>
        </w:rPr>
      </w:pPr>
      <w:r>
        <w:rPr>
          <w:rFonts w:eastAsia="Calibri"/>
        </w:rPr>
        <w:t xml:space="preserve">Billing for services which are not </w:t>
      </w:r>
      <w:r w:rsidR="005D0D58">
        <w:rPr>
          <w:rFonts w:eastAsia="Calibri"/>
        </w:rPr>
        <w:t xml:space="preserve">medically </w:t>
      </w:r>
      <w:r>
        <w:rPr>
          <w:rFonts w:eastAsia="Calibri"/>
        </w:rPr>
        <w:t xml:space="preserve">necessary </w:t>
      </w:r>
      <w:r w:rsidR="00A32E36">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7C696DB9" w14:textId="77777777" w:rsidR="005D0D58" w:rsidRDefault="005D0D58" w:rsidP="000B65F2">
      <w:pPr>
        <w:tabs>
          <w:tab w:val="left" w:pos="720"/>
        </w:tabs>
        <w:spacing w:line="480" w:lineRule="auto"/>
        <w:ind w:left="720" w:hanging="720"/>
        <w:rPr>
          <w:rFonts w:eastAsia="Calibri"/>
          <w:bCs/>
        </w:rPr>
      </w:pPr>
      <w:r w:rsidRPr="005D0D58">
        <w:rPr>
          <w:rFonts w:eastAsia="Calibri"/>
          <w:bCs/>
        </w:rPr>
        <w:t>Czaja, S. J., Sharit, J., &amp; Nair, S. N. (2008). Usability of the Medicare health web site. </w:t>
      </w:r>
      <w:r w:rsidRPr="005D0D58">
        <w:rPr>
          <w:rFonts w:eastAsia="Calibri"/>
          <w:bCs/>
          <w:i/>
          <w:iCs/>
        </w:rPr>
        <w:t>JAMA</w:t>
      </w:r>
      <w:r w:rsidRPr="005D0D58">
        <w:rPr>
          <w:rFonts w:eastAsia="Calibri"/>
          <w:bCs/>
        </w:rPr>
        <w:t>, </w:t>
      </w:r>
      <w:r w:rsidRPr="005D0D58">
        <w:rPr>
          <w:rFonts w:eastAsia="Calibri"/>
          <w:bCs/>
          <w:i/>
          <w:iCs/>
        </w:rPr>
        <w:t>300</w:t>
      </w:r>
      <w:r w:rsidRPr="005D0D58">
        <w:rPr>
          <w:rFonts w:eastAsia="Calibri"/>
          <w:bCs/>
        </w:rPr>
        <w:t>(7), 790-792.</w:t>
      </w:r>
    </w:p>
    <w:p w14:paraId="2932F613" w14:textId="73A347C4" w:rsidR="000B65F2" w:rsidRDefault="005D0D58" w:rsidP="000B65F2">
      <w:pPr>
        <w:tabs>
          <w:tab w:val="left" w:pos="720"/>
        </w:tabs>
        <w:spacing w:line="480" w:lineRule="auto"/>
        <w:ind w:left="720" w:hanging="720"/>
        <w:rPr>
          <w:rFonts w:eastAsia="Calibri"/>
          <w:bCs/>
        </w:rPr>
      </w:pPr>
      <w:r>
        <w:rPr>
          <w:rFonts w:eastAsia="Calibri"/>
          <w:bCs/>
        </w:rPr>
        <w:t>Garrett, Gail S.</w:t>
      </w:r>
      <w:r w:rsidRPr="005D0D58">
        <w:rPr>
          <w:rFonts w:eastAsia="Calibri"/>
          <w:bCs/>
        </w:rPr>
        <w:t xml:space="preserve"> (July 2009)</w:t>
      </w:r>
      <w:r>
        <w:rPr>
          <w:rFonts w:eastAsia="Calibri"/>
          <w:bCs/>
        </w:rPr>
        <w:t>.</w:t>
      </w:r>
      <w:r w:rsidRPr="005D0D58">
        <w:rPr>
          <w:rFonts w:eastAsia="Calibri"/>
          <w:bCs/>
        </w:rPr>
        <w:t xml:space="preserve"> "Present on Admission: Where We Are Now" </w:t>
      </w:r>
      <w:r w:rsidRPr="005D0D58">
        <w:rPr>
          <w:rFonts w:eastAsia="Calibri"/>
          <w:bCs/>
          <w:i/>
          <w:iCs/>
        </w:rPr>
        <w:t>Journal of AHIMA</w:t>
      </w:r>
      <w:r w:rsidRPr="005D0D58">
        <w:rPr>
          <w:rFonts w:eastAsia="Calibri"/>
          <w:bCs/>
        </w:rPr>
        <w:t> 80, no.7: 22-26.</w:t>
      </w:r>
    </w:p>
    <w:p w14:paraId="7086AD3B" w14:textId="01CE5AA4" w:rsidR="005D0D58" w:rsidRDefault="005D0D58" w:rsidP="000B65F2">
      <w:pPr>
        <w:tabs>
          <w:tab w:val="left" w:pos="720"/>
        </w:tabs>
        <w:spacing w:line="480" w:lineRule="auto"/>
        <w:ind w:left="720" w:hanging="720"/>
        <w:rPr>
          <w:rFonts w:eastAsia="Calibri"/>
          <w:bCs/>
        </w:rPr>
      </w:pPr>
      <w:r w:rsidRPr="005D0D58">
        <w:rPr>
          <w:rFonts w:eastAsia="Calibri"/>
          <w:bCs/>
        </w:rPr>
        <w:t>Werner, R. M., &amp; Konetzka, R. T. (2018). Trends in post–acute care use among Medicare beneficiaries: 2000 to 2015. </w:t>
      </w:r>
      <w:r w:rsidRPr="005D0D58">
        <w:rPr>
          <w:rFonts w:eastAsia="Calibri"/>
          <w:bCs/>
          <w:i/>
          <w:iCs/>
        </w:rPr>
        <w:t>Jama</w:t>
      </w:r>
      <w:r w:rsidRPr="005D0D58">
        <w:rPr>
          <w:rFonts w:eastAsia="Calibri"/>
          <w:bCs/>
        </w:rPr>
        <w:t>, </w:t>
      </w:r>
      <w:r w:rsidRPr="005D0D58">
        <w:rPr>
          <w:rFonts w:eastAsia="Calibri"/>
          <w:bCs/>
          <w:i/>
          <w:iCs/>
        </w:rPr>
        <w:t>319</w:t>
      </w:r>
      <w:r w:rsidRPr="005D0D58">
        <w:rPr>
          <w:rFonts w:eastAsia="Calibri"/>
          <w:bCs/>
        </w:rPr>
        <w:t>(15), 1616-1617.</w:t>
      </w:r>
    </w:p>
    <w:p w14:paraId="6477FC80" w14:textId="72244099" w:rsidR="005D0D58" w:rsidRPr="000B65F2" w:rsidRDefault="005D0D58" w:rsidP="000B65F2">
      <w:pPr>
        <w:tabs>
          <w:tab w:val="left" w:pos="720"/>
        </w:tabs>
        <w:spacing w:line="480" w:lineRule="auto"/>
        <w:ind w:left="720" w:hanging="720"/>
        <w:rPr>
          <w:rFonts w:eastAsia="Calibri"/>
          <w:bCs/>
        </w:rPr>
      </w:pPr>
      <w:r w:rsidRPr="005D0D58">
        <w:rPr>
          <w:rFonts w:eastAsia="Calibri"/>
          <w:bCs/>
        </w:rPr>
        <w:t>Willink, A., Shoen, C., &amp; Davis, K. (2018). How Medicare Could Provide Dental, Vision, and Hearing Care for Beneficiaries. </w:t>
      </w:r>
      <w:r w:rsidRPr="005D0D58">
        <w:rPr>
          <w:rFonts w:eastAsia="Calibri"/>
          <w:bCs/>
          <w:i/>
          <w:iCs/>
        </w:rPr>
        <w:t>Issue Brief (Commonwealth Fund)</w:t>
      </w:r>
      <w:r w:rsidRPr="005D0D58">
        <w:rPr>
          <w:rFonts w:eastAsia="Calibri"/>
          <w:bCs/>
        </w:rPr>
        <w:t>, </w:t>
      </w:r>
      <w:r w:rsidRPr="005D0D58">
        <w:rPr>
          <w:rFonts w:eastAsia="Calibri"/>
          <w:bCs/>
          <w:i/>
          <w:iCs/>
        </w:rPr>
        <w:t>2018</w:t>
      </w:r>
      <w:r w:rsidRPr="005D0D58">
        <w:rPr>
          <w:rFonts w:eastAsia="Calibri"/>
          <w:bCs/>
        </w:rPr>
        <w:t>, 1-12.</w:t>
      </w: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070D4" w14:textId="77777777" w:rsidR="00FF0CC8" w:rsidRDefault="00FF0CC8">
      <w:pPr>
        <w:spacing w:after="0" w:line="240" w:lineRule="auto"/>
      </w:pPr>
      <w:r>
        <w:separator/>
      </w:r>
    </w:p>
  </w:endnote>
  <w:endnote w:type="continuationSeparator" w:id="0">
    <w:p w14:paraId="6727F41D" w14:textId="77777777" w:rsidR="00FF0CC8" w:rsidRDefault="00FF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7173A" w14:textId="77777777" w:rsidR="00FF0CC8" w:rsidRDefault="00FF0CC8">
      <w:pPr>
        <w:spacing w:after="0" w:line="240" w:lineRule="auto"/>
      </w:pPr>
      <w:r>
        <w:separator/>
      </w:r>
    </w:p>
  </w:footnote>
  <w:footnote w:type="continuationSeparator" w:id="0">
    <w:p w14:paraId="1D9DEC79" w14:textId="77777777" w:rsidR="00FF0CC8" w:rsidRDefault="00FF0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FF0CC8">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17EF9"/>
    <w:multiLevelType w:val="multilevel"/>
    <w:tmpl w:val="F826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0C000C"/>
    <w:multiLevelType w:val="multilevel"/>
    <w:tmpl w:val="FA12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2765"/>
    <w:rsid w:val="00025DA7"/>
    <w:rsid w:val="0004099B"/>
    <w:rsid w:val="0005070E"/>
    <w:rsid w:val="000609DC"/>
    <w:rsid w:val="00061A36"/>
    <w:rsid w:val="00082D4F"/>
    <w:rsid w:val="000858DE"/>
    <w:rsid w:val="000942A1"/>
    <w:rsid w:val="000A3DCB"/>
    <w:rsid w:val="000A4BF1"/>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26B30"/>
    <w:rsid w:val="00235EF5"/>
    <w:rsid w:val="00242F13"/>
    <w:rsid w:val="00250936"/>
    <w:rsid w:val="0025568D"/>
    <w:rsid w:val="00274616"/>
    <w:rsid w:val="00283A80"/>
    <w:rsid w:val="00295E67"/>
    <w:rsid w:val="002A3E80"/>
    <w:rsid w:val="002A5C2E"/>
    <w:rsid w:val="002A7EF0"/>
    <w:rsid w:val="002B4377"/>
    <w:rsid w:val="002B570E"/>
    <w:rsid w:val="002E42EA"/>
    <w:rsid w:val="002E5CCB"/>
    <w:rsid w:val="002F32AD"/>
    <w:rsid w:val="00312ECD"/>
    <w:rsid w:val="00325EA2"/>
    <w:rsid w:val="00327972"/>
    <w:rsid w:val="00331569"/>
    <w:rsid w:val="00341A79"/>
    <w:rsid w:val="003746A0"/>
    <w:rsid w:val="00391085"/>
    <w:rsid w:val="003946B9"/>
    <w:rsid w:val="00395827"/>
    <w:rsid w:val="003A4C4D"/>
    <w:rsid w:val="003B67B6"/>
    <w:rsid w:val="003C0699"/>
    <w:rsid w:val="003C7D0E"/>
    <w:rsid w:val="003D1C0B"/>
    <w:rsid w:val="003E0DF3"/>
    <w:rsid w:val="00400081"/>
    <w:rsid w:val="004011FA"/>
    <w:rsid w:val="0041003C"/>
    <w:rsid w:val="00411C50"/>
    <w:rsid w:val="0042628F"/>
    <w:rsid w:val="00430421"/>
    <w:rsid w:val="004436B1"/>
    <w:rsid w:val="004443AA"/>
    <w:rsid w:val="00445721"/>
    <w:rsid w:val="004575B8"/>
    <w:rsid w:val="00461393"/>
    <w:rsid w:val="0048015A"/>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62A86"/>
    <w:rsid w:val="00596F43"/>
    <w:rsid w:val="005C5173"/>
    <w:rsid w:val="005C6DE9"/>
    <w:rsid w:val="005D0D58"/>
    <w:rsid w:val="005D2B0E"/>
    <w:rsid w:val="005F4C23"/>
    <w:rsid w:val="005F776D"/>
    <w:rsid w:val="005F7CE7"/>
    <w:rsid w:val="00603148"/>
    <w:rsid w:val="0061517F"/>
    <w:rsid w:val="00616126"/>
    <w:rsid w:val="00642861"/>
    <w:rsid w:val="00645287"/>
    <w:rsid w:val="006516E5"/>
    <w:rsid w:val="006518DD"/>
    <w:rsid w:val="0066468A"/>
    <w:rsid w:val="00667892"/>
    <w:rsid w:val="0067082D"/>
    <w:rsid w:val="00672948"/>
    <w:rsid w:val="00674CFA"/>
    <w:rsid w:val="0068160D"/>
    <w:rsid w:val="00691B3B"/>
    <w:rsid w:val="006936C9"/>
    <w:rsid w:val="006A4049"/>
    <w:rsid w:val="006A4738"/>
    <w:rsid w:val="006A69D2"/>
    <w:rsid w:val="006B750A"/>
    <w:rsid w:val="006D19CB"/>
    <w:rsid w:val="006E14E5"/>
    <w:rsid w:val="006E4A0E"/>
    <w:rsid w:val="006E6301"/>
    <w:rsid w:val="006E68AE"/>
    <w:rsid w:val="006E72B6"/>
    <w:rsid w:val="006F5729"/>
    <w:rsid w:val="007040C0"/>
    <w:rsid w:val="00711A6B"/>
    <w:rsid w:val="00717001"/>
    <w:rsid w:val="00737288"/>
    <w:rsid w:val="0073766B"/>
    <w:rsid w:val="00750E45"/>
    <w:rsid w:val="00764CD8"/>
    <w:rsid w:val="007811A5"/>
    <w:rsid w:val="007856BC"/>
    <w:rsid w:val="007907D2"/>
    <w:rsid w:val="0079459F"/>
    <w:rsid w:val="00795EA9"/>
    <w:rsid w:val="007A5397"/>
    <w:rsid w:val="007D4494"/>
    <w:rsid w:val="007E7A9F"/>
    <w:rsid w:val="007E7C0A"/>
    <w:rsid w:val="0080071D"/>
    <w:rsid w:val="0080139A"/>
    <w:rsid w:val="00811881"/>
    <w:rsid w:val="0082148C"/>
    <w:rsid w:val="00837F8B"/>
    <w:rsid w:val="00871AF1"/>
    <w:rsid w:val="008833F3"/>
    <w:rsid w:val="00890F00"/>
    <w:rsid w:val="008978BA"/>
    <w:rsid w:val="008A7A6D"/>
    <w:rsid w:val="008B14DF"/>
    <w:rsid w:val="008D09D4"/>
    <w:rsid w:val="008D261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419B"/>
    <w:rsid w:val="009C5022"/>
    <w:rsid w:val="009E5128"/>
    <w:rsid w:val="009F00AE"/>
    <w:rsid w:val="00A021D2"/>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C5101"/>
    <w:rsid w:val="00AD42BE"/>
    <w:rsid w:val="00AD78D0"/>
    <w:rsid w:val="00AF4D92"/>
    <w:rsid w:val="00AF7454"/>
    <w:rsid w:val="00B006F3"/>
    <w:rsid w:val="00B106F8"/>
    <w:rsid w:val="00B1427D"/>
    <w:rsid w:val="00B25020"/>
    <w:rsid w:val="00B31994"/>
    <w:rsid w:val="00B34385"/>
    <w:rsid w:val="00B3541B"/>
    <w:rsid w:val="00B44FE2"/>
    <w:rsid w:val="00B53B90"/>
    <w:rsid w:val="00B63AE6"/>
    <w:rsid w:val="00B640FD"/>
    <w:rsid w:val="00B651CF"/>
    <w:rsid w:val="00B65F71"/>
    <w:rsid w:val="00B67E66"/>
    <w:rsid w:val="00BB59BC"/>
    <w:rsid w:val="00BD02AE"/>
    <w:rsid w:val="00BE14FA"/>
    <w:rsid w:val="00BF69A3"/>
    <w:rsid w:val="00C01E80"/>
    <w:rsid w:val="00C0278D"/>
    <w:rsid w:val="00C03D28"/>
    <w:rsid w:val="00C07BA3"/>
    <w:rsid w:val="00C11D01"/>
    <w:rsid w:val="00C1419F"/>
    <w:rsid w:val="00C16B86"/>
    <w:rsid w:val="00C24DE0"/>
    <w:rsid w:val="00C26AD8"/>
    <w:rsid w:val="00C416EC"/>
    <w:rsid w:val="00C419FC"/>
    <w:rsid w:val="00C52074"/>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10E57"/>
    <w:rsid w:val="00D32346"/>
    <w:rsid w:val="00D40778"/>
    <w:rsid w:val="00D43C94"/>
    <w:rsid w:val="00D45C99"/>
    <w:rsid w:val="00D64CD9"/>
    <w:rsid w:val="00D67C9C"/>
    <w:rsid w:val="00D755A3"/>
    <w:rsid w:val="00D7670B"/>
    <w:rsid w:val="00D77B78"/>
    <w:rsid w:val="00D824D6"/>
    <w:rsid w:val="00D92310"/>
    <w:rsid w:val="00D97D06"/>
    <w:rsid w:val="00DB3A96"/>
    <w:rsid w:val="00DC03AF"/>
    <w:rsid w:val="00DD0658"/>
    <w:rsid w:val="00DD20F7"/>
    <w:rsid w:val="00DD64D2"/>
    <w:rsid w:val="00DF099D"/>
    <w:rsid w:val="00DF46A2"/>
    <w:rsid w:val="00DF48E8"/>
    <w:rsid w:val="00E125BE"/>
    <w:rsid w:val="00E17691"/>
    <w:rsid w:val="00E2107F"/>
    <w:rsid w:val="00E46D5E"/>
    <w:rsid w:val="00E65939"/>
    <w:rsid w:val="00E7282D"/>
    <w:rsid w:val="00E83DE6"/>
    <w:rsid w:val="00E906C8"/>
    <w:rsid w:val="00E96A0F"/>
    <w:rsid w:val="00EA2B88"/>
    <w:rsid w:val="00EA50F8"/>
    <w:rsid w:val="00EB0B4B"/>
    <w:rsid w:val="00EB1658"/>
    <w:rsid w:val="00EB5C19"/>
    <w:rsid w:val="00EC2021"/>
    <w:rsid w:val="00EC6032"/>
    <w:rsid w:val="00ED741D"/>
    <w:rsid w:val="00F03B24"/>
    <w:rsid w:val="00F1259D"/>
    <w:rsid w:val="00F12AB4"/>
    <w:rsid w:val="00F1331E"/>
    <w:rsid w:val="00F36C89"/>
    <w:rsid w:val="00F53D5E"/>
    <w:rsid w:val="00F57324"/>
    <w:rsid w:val="00F72CBB"/>
    <w:rsid w:val="00F8424F"/>
    <w:rsid w:val="00F8558A"/>
    <w:rsid w:val="00F85E1F"/>
    <w:rsid w:val="00F94065"/>
    <w:rsid w:val="00F95CD4"/>
    <w:rsid w:val="00F96BD8"/>
    <w:rsid w:val="00FA243D"/>
    <w:rsid w:val="00FA5A8D"/>
    <w:rsid w:val="00FA7EB9"/>
    <w:rsid w:val="00FC6AFD"/>
    <w:rsid w:val="00FD2597"/>
    <w:rsid w:val="00FD35D7"/>
    <w:rsid w:val="00FE0B05"/>
    <w:rsid w:val="00FE0F8E"/>
    <w:rsid w:val="00FF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268466084">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834493239">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 w:id="2040545034">
      <w:bodyDiv w:val="1"/>
      <w:marLeft w:val="0"/>
      <w:marRight w:val="0"/>
      <w:marTop w:val="0"/>
      <w:marBottom w:val="0"/>
      <w:divBdr>
        <w:top w:val="none" w:sz="0" w:space="0" w:color="auto"/>
        <w:left w:val="none" w:sz="0" w:space="0" w:color="auto"/>
        <w:bottom w:val="none" w:sz="0" w:space="0" w:color="auto"/>
        <w:right w:val="none" w:sz="0" w:space="0" w:color="auto"/>
      </w:divBdr>
    </w:div>
    <w:div w:id="212252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C86B5-C401-4E44-A613-B7AA6D5DD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2021-05-11T01:15:00Z</dcterms:created>
  <dcterms:modified xsi:type="dcterms:W3CDTF">2021-05-11T01:15:00Z</dcterms:modified>
</cp:coreProperties>
</file>