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31" w:rsidRDefault="00EE3A31" w:rsidP="00EE3A31">
      <w:pPr>
        <w:spacing w:line="480" w:lineRule="auto"/>
        <w:jc w:val="center"/>
      </w:pPr>
    </w:p>
    <w:p w:rsidR="00EE3A31" w:rsidRDefault="00EE3A31" w:rsidP="00EE3A31">
      <w:pPr>
        <w:spacing w:line="480" w:lineRule="auto"/>
        <w:ind w:firstLine="720"/>
        <w:jc w:val="center"/>
        <w:rPr>
          <w:rFonts w:ascii="Times New Roman" w:hAnsi="Times New Roman" w:cs="Times New Roman"/>
          <w:sz w:val="24"/>
        </w:rPr>
      </w:pPr>
    </w:p>
    <w:p w:rsidR="00EE3A31" w:rsidRDefault="00EE3A31" w:rsidP="00EE3A31">
      <w:pPr>
        <w:spacing w:line="480" w:lineRule="auto"/>
        <w:ind w:firstLine="720"/>
        <w:jc w:val="center"/>
        <w:rPr>
          <w:rFonts w:ascii="Times New Roman" w:hAnsi="Times New Roman" w:cs="Times New Roman"/>
          <w:sz w:val="24"/>
        </w:rPr>
      </w:pPr>
    </w:p>
    <w:p w:rsidR="00EE3A31" w:rsidRDefault="00EE3A31" w:rsidP="00EE3A31">
      <w:pPr>
        <w:spacing w:line="480" w:lineRule="auto"/>
        <w:ind w:firstLine="720"/>
        <w:jc w:val="center"/>
        <w:rPr>
          <w:rFonts w:ascii="Times New Roman" w:hAnsi="Times New Roman" w:cs="Times New Roman"/>
          <w:sz w:val="24"/>
        </w:rPr>
      </w:pPr>
      <w:r>
        <w:rPr>
          <w:rFonts w:ascii="Times New Roman" w:hAnsi="Times New Roman" w:cs="Times New Roman"/>
          <w:sz w:val="24"/>
        </w:rPr>
        <w:t>Result</w:t>
      </w:r>
    </w:p>
    <w:p w:rsidR="00EE3A31" w:rsidRPr="00EE3A31" w:rsidRDefault="00EE3A31" w:rsidP="00EE3A31">
      <w:pPr>
        <w:spacing w:line="480" w:lineRule="auto"/>
        <w:ind w:firstLine="720"/>
        <w:jc w:val="center"/>
        <w:rPr>
          <w:rFonts w:ascii="Times New Roman" w:hAnsi="Times New Roman" w:cs="Times New Roman"/>
          <w:sz w:val="24"/>
        </w:rPr>
      </w:pPr>
      <w:r w:rsidRPr="00EE3A31">
        <w:rPr>
          <w:rFonts w:ascii="Times New Roman" w:hAnsi="Times New Roman" w:cs="Times New Roman"/>
          <w:sz w:val="24"/>
        </w:rPr>
        <w:t>Name</w:t>
      </w:r>
    </w:p>
    <w:p w:rsidR="00EE3A31" w:rsidRPr="00EE3A31" w:rsidRDefault="00EE3A31" w:rsidP="00EE3A31">
      <w:pPr>
        <w:spacing w:line="480" w:lineRule="auto"/>
        <w:ind w:firstLine="720"/>
        <w:jc w:val="center"/>
        <w:rPr>
          <w:rFonts w:ascii="Times New Roman" w:hAnsi="Times New Roman" w:cs="Times New Roman"/>
          <w:sz w:val="24"/>
        </w:rPr>
      </w:pPr>
      <w:r w:rsidRPr="00EE3A31">
        <w:rPr>
          <w:rFonts w:ascii="Times New Roman" w:hAnsi="Times New Roman" w:cs="Times New Roman"/>
          <w:sz w:val="24"/>
        </w:rPr>
        <w:t>University</w:t>
      </w:r>
    </w:p>
    <w:p w:rsidR="00EE3A31" w:rsidRPr="00EE3A31" w:rsidRDefault="00EE3A31" w:rsidP="00EE3A31">
      <w:pPr>
        <w:spacing w:line="480" w:lineRule="auto"/>
        <w:ind w:firstLine="720"/>
        <w:jc w:val="center"/>
        <w:rPr>
          <w:rFonts w:ascii="Times New Roman" w:hAnsi="Times New Roman" w:cs="Times New Roman"/>
          <w:sz w:val="24"/>
        </w:rPr>
      </w:pPr>
      <w:r w:rsidRPr="00EE3A31">
        <w:rPr>
          <w:rFonts w:ascii="Times New Roman" w:hAnsi="Times New Roman" w:cs="Times New Roman"/>
          <w:sz w:val="24"/>
        </w:rPr>
        <w:t>Date</w:t>
      </w:r>
    </w:p>
    <w:p w:rsidR="00EE3A31" w:rsidRDefault="00EE3A3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33943" w:rsidRPr="00EE3A31" w:rsidRDefault="00333943" w:rsidP="00CA2C75">
      <w:pPr>
        <w:shd w:val="clear" w:color="auto" w:fill="FFFFFF"/>
        <w:spacing w:after="0" w:line="480" w:lineRule="auto"/>
        <w:contextualSpacing/>
        <w:jc w:val="center"/>
        <w:rPr>
          <w:rFonts w:ascii="Times New Roman" w:eastAsia="Times New Roman" w:hAnsi="Times New Roman" w:cs="Times New Roman"/>
          <w:sz w:val="24"/>
          <w:szCs w:val="24"/>
        </w:rPr>
      </w:pPr>
      <w:r w:rsidRPr="00EE3A31">
        <w:rPr>
          <w:rFonts w:ascii="Times New Roman" w:eastAsia="Times New Roman" w:hAnsi="Times New Roman" w:cs="Times New Roman"/>
          <w:b/>
          <w:bCs/>
          <w:sz w:val="24"/>
          <w:szCs w:val="24"/>
        </w:rPr>
        <w:lastRenderedPageBreak/>
        <w:t>Method Section</w:t>
      </w:r>
    </w:p>
    <w:p w:rsidR="00333943" w:rsidRPr="00CA2C75" w:rsidRDefault="00333943" w:rsidP="00CA2C75">
      <w:pPr>
        <w:shd w:val="clear" w:color="auto" w:fill="FFFFFF"/>
        <w:spacing w:after="0" w:line="480" w:lineRule="auto"/>
        <w:contextualSpacing/>
        <w:rPr>
          <w:rFonts w:ascii="Times New Roman" w:eastAsia="Times New Roman" w:hAnsi="Times New Roman" w:cs="Times New Roman"/>
          <w:b/>
          <w:color w:val="000000"/>
          <w:sz w:val="24"/>
          <w:szCs w:val="24"/>
        </w:rPr>
      </w:pPr>
      <w:r w:rsidRPr="00CA2C75">
        <w:rPr>
          <w:rFonts w:ascii="Times New Roman" w:eastAsia="Times New Roman" w:hAnsi="Times New Roman" w:cs="Times New Roman"/>
          <w:b/>
          <w:color w:val="000000"/>
          <w:sz w:val="24"/>
          <w:szCs w:val="24"/>
        </w:rPr>
        <w:t>Participants</w:t>
      </w:r>
    </w:p>
    <w:p w:rsidR="00333943" w:rsidRPr="00CA2C75" w:rsidRDefault="00333943" w:rsidP="00CA2C75">
      <w:pPr>
        <w:shd w:val="clear" w:color="auto" w:fill="FFFFFF"/>
        <w:spacing w:after="0" w:line="480" w:lineRule="auto"/>
        <w:ind w:firstLine="720"/>
        <w:contextualSpacing/>
        <w:rPr>
          <w:rFonts w:ascii="Times New Roman" w:eastAsia="Times New Roman" w:hAnsi="Times New Roman" w:cs="Times New Roman"/>
          <w:color w:val="000000"/>
          <w:sz w:val="24"/>
          <w:szCs w:val="24"/>
        </w:rPr>
      </w:pPr>
      <w:r w:rsidRPr="00CA2C75">
        <w:rPr>
          <w:rFonts w:ascii="Times New Roman" w:eastAsia="Times New Roman" w:hAnsi="Times New Roman" w:cs="Times New Roman"/>
          <w:color w:val="000000"/>
          <w:sz w:val="24"/>
          <w:szCs w:val="24"/>
        </w:rPr>
        <w:t xml:space="preserve">They were 15 participants who participated in this study. 60% were females, 13% male while the rest were either non binary or did not want to indicate their sexes. The average ages of the participants was 20 years with the youngest being 19, while the oldest being 22 years. Although the study aimed at random requirement, the study selectively required participants’ to fit the study aim. </w:t>
      </w:r>
    </w:p>
    <w:p w:rsidR="00333943" w:rsidRPr="00CA2C75" w:rsidRDefault="00333943" w:rsidP="00CA2C75">
      <w:pPr>
        <w:shd w:val="clear" w:color="auto" w:fill="FFFFFF"/>
        <w:spacing w:after="0" w:line="480" w:lineRule="auto"/>
        <w:contextualSpacing/>
        <w:rPr>
          <w:rFonts w:ascii="Times New Roman" w:eastAsia="Times New Roman" w:hAnsi="Times New Roman" w:cs="Times New Roman"/>
          <w:b/>
          <w:color w:val="000000"/>
          <w:sz w:val="24"/>
          <w:szCs w:val="24"/>
        </w:rPr>
      </w:pPr>
      <w:r w:rsidRPr="00CA2C75">
        <w:rPr>
          <w:rFonts w:ascii="Times New Roman" w:eastAsia="Times New Roman" w:hAnsi="Times New Roman" w:cs="Times New Roman"/>
          <w:b/>
          <w:color w:val="000000"/>
          <w:sz w:val="24"/>
          <w:szCs w:val="24"/>
        </w:rPr>
        <w:t>Design</w:t>
      </w:r>
    </w:p>
    <w:p w:rsidR="00333943" w:rsidRPr="00CA2C75" w:rsidRDefault="00333943" w:rsidP="00CA2C75">
      <w:pPr>
        <w:shd w:val="clear" w:color="auto" w:fill="FFFFFF"/>
        <w:spacing w:after="0" w:line="480" w:lineRule="auto"/>
        <w:ind w:firstLine="720"/>
        <w:contextualSpacing/>
        <w:rPr>
          <w:rFonts w:ascii="Times New Roman" w:eastAsia="Times New Roman" w:hAnsi="Times New Roman" w:cs="Times New Roman"/>
          <w:color w:val="2D3B45"/>
          <w:sz w:val="24"/>
          <w:szCs w:val="24"/>
        </w:rPr>
      </w:pPr>
      <w:r w:rsidRPr="00CA2C75">
        <w:rPr>
          <w:rFonts w:ascii="Times New Roman" w:eastAsia="Times New Roman" w:hAnsi="Times New Roman" w:cs="Times New Roman"/>
          <w:color w:val="000000"/>
          <w:sz w:val="24"/>
          <w:szCs w:val="24"/>
        </w:rPr>
        <w:t xml:space="preserve">A quasi </w:t>
      </w:r>
      <w:r w:rsidR="003B151B" w:rsidRPr="00CA2C75">
        <w:rPr>
          <w:rFonts w:ascii="Times New Roman" w:eastAsia="Times New Roman" w:hAnsi="Times New Roman" w:cs="Times New Roman"/>
          <w:color w:val="000000"/>
          <w:sz w:val="24"/>
          <w:szCs w:val="24"/>
        </w:rPr>
        <w:t>experimental</w:t>
      </w:r>
      <w:r w:rsidRPr="00CA2C75">
        <w:rPr>
          <w:rFonts w:ascii="Times New Roman" w:eastAsia="Times New Roman" w:hAnsi="Times New Roman" w:cs="Times New Roman"/>
          <w:color w:val="000000"/>
          <w:sz w:val="24"/>
          <w:szCs w:val="24"/>
        </w:rPr>
        <w:t xml:space="preserve"> study design was used </w:t>
      </w:r>
      <w:r w:rsidR="003B151B" w:rsidRPr="00CA2C75">
        <w:rPr>
          <w:rFonts w:ascii="Times New Roman" w:eastAsia="Times New Roman" w:hAnsi="Times New Roman" w:cs="Times New Roman"/>
          <w:color w:val="000000"/>
          <w:sz w:val="24"/>
          <w:szCs w:val="24"/>
        </w:rPr>
        <w:t xml:space="preserve">with the study participants subjected to before and after scenarios. The judgment percentage likelihood of the participants was measured for the first time and premeasured in the after scenarios. The feedback was recorded as “Abstract Large”, “Abstract small”, “Concrete large”, and “Concrete small”. </w:t>
      </w:r>
    </w:p>
    <w:p w:rsidR="00333943" w:rsidRPr="00CA2C75" w:rsidRDefault="00333943" w:rsidP="00CA2C75">
      <w:pPr>
        <w:shd w:val="clear" w:color="auto" w:fill="FFFFFF"/>
        <w:spacing w:after="0" w:line="480" w:lineRule="auto"/>
        <w:contextualSpacing/>
        <w:rPr>
          <w:rFonts w:ascii="Times New Roman" w:eastAsia="Times New Roman" w:hAnsi="Times New Roman" w:cs="Times New Roman"/>
          <w:b/>
          <w:color w:val="000000"/>
          <w:sz w:val="24"/>
          <w:szCs w:val="24"/>
        </w:rPr>
      </w:pPr>
      <w:r w:rsidRPr="00CA2C75">
        <w:rPr>
          <w:rFonts w:ascii="Times New Roman" w:eastAsia="Times New Roman" w:hAnsi="Times New Roman" w:cs="Times New Roman"/>
          <w:b/>
          <w:color w:val="000000"/>
          <w:sz w:val="24"/>
          <w:szCs w:val="24"/>
        </w:rPr>
        <w:t>Procedure</w:t>
      </w:r>
    </w:p>
    <w:p w:rsidR="003B151B" w:rsidRPr="00CA2C75" w:rsidRDefault="003B151B" w:rsidP="00CA2C75">
      <w:pPr>
        <w:shd w:val="clear" w:color="auto" w:fill="FFFFFF"/>
        <w:spacing w:after="0" w:line="480" w:lineRule="auto"/>
        <w:ind w:firstLine="720"/>
        <w:contextualSpacing/>
        <w:rPr>
          <w:rFonts w:ascii="Times New Roman" w:eastAsia="Times New Roman" w:hAnsi="Times New Roman" w:cs="Times New Roman"/>
          <w:color w:val="2D3B45"/>
          <w:sz w:val="24"/>
          <w:szCs w:val="24"/>
        </w:rPr>
      </w:pPr>
      <w:r w:rsidRPr="00CA2C75">
        <w:rPr>
          <w:rFonts w:ascii="Times New Roman" w:eastAsia="Times New Roman" w:hAnsi="Times New Roman" w:cs="Times New Roman"/>
          <w:color w:val="000000"/>
          <w:sz w:val="24"/>
          <w:szCs w:val="24"/>
        </w:rPr>
        <w:t xml:space="preserve">After randomly recruitment, the participants were subjected to a series of questions with their feedback recorded as either abstract or concrete. The abstract large was recorded as either large or small while judgment size comparison was either large or small. All the feedbacks were recorded in a clean excel sheets. </w:t>
      </w:r>
    </w:p>
    <w:p w:rsidR="00333943" w:rsidRPr="00EE3A31" w:rsidRDefault="00333943" w:rsidP="00CA2C75">
      <w:pPr>
        <w:shd w:val="clear" w:color="auto" w:fill="FFFFFF"/>
        <w:spacing w:after="0" w:line="480" w:lineRule="auto"/>
        <w:contextualSpacing/>
        <w:rPr>
          <w:rFonts w:ascii="Times New Roman" w:eastAsia="Times New Roman" w:hAnsi="Times New Roman" w:cs="Times New Roman"/>
          <w:sz w:val="24"/>
          <w:szCs w:val="24"/>
        </w:rPr>
      </w:pPr>
      <w:r w:rsidRPr="00EE3A31">
        <w:rPr>
          <w:rFonts w:ascii="Times New Roman" w:eastAsia="Times New Roman" w:hAnsi="Times New Roman" w:cs="Times New Roman"/>
          <w:b/>
          <w:bCs/>
          <w:sz w:val="24"/>
          <w:szCs w:val="24"/>
        </w:rPr>
        <w:t>Results Section</w:t>
      </w:r>
    </w:p>
    <w:p w:rsidR="00333943" w:rsidRPr="00CA2C75" w:rsidRDefault="00333943" w:rsidP="00CA2C75">
      <w:pPr>
        <w:numPr>
          <w:ilvl w:val="2"/>
          <w:numId w:val="1"/>
        </w:numPr>
        <w:shd w:val="clear" w:color="auto" w:fill="FFFFFF"/>
        <w:spacing w:after="0" w:line="480" w:lineRule="auto"/>
        <w:ind w:left="4380"/>
        <w:contextualSpacing/>
        <w:rPr>
          <w:rFonts w:ascii="Times New Roman" w:eastAsia="Times New Roman" w:hAnsi="Times New Roman" w:cs="Times New Roman"/>
          <w:color w:val="2D3B45"/>
          <w:sz w:val="24"/>
          <w:szCs w:val="24"/>
        </w:rPr>
      </w:pPr>
    </w:p>
    <w:p w:rsidR="00CA2C75" w:rsidRDefault="004355AB" w:rsidP="00CA2C75">
      <w:pPr>
        <w:keepNext/>
        <w:shd w:val="clear" w:color="auto" w:fill="FFFFFF"/>
        <w:spacing w:after="0" w:line="480" w:lineRule="auto"/>
        <w:contextualSpacing/>
      </w:pPr>
      <w:r w:rsidRPr="00CA2C75">
        <w:rPr>
          <w:rFonts w:ascii="Times New Roman" w:hAnsi="Times New Roman" w:cs="Times New Roman"/>
          <w:noProof/>
          <w:sz w:val="24"/>
          <w:szCs w:val="24"/>
        </w:rPr>
        <w:drawing>
          <wp:inline distT="0" distB="0" distL="0" distR="0" wp14:anchorId="0D003F7A" wp14:editId="5D8FF310">
            <wp:extent cx="594360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4355AB" w:rsidRPr="00CA2C75" w:rsidRDefault="00CA2C75" w:rsidP="00CA2C75">
      <w:pPr>
        <w:pStyle w:val="Caption"/>
        <w:jc w:val="center"/>
        <w:rPr>
          <w:rFonts w:ascii="Times New Roman" w:eastAsia="Times New Roman" w:hAnsi="Times New Roman" w:cs="Times New Roman"/>
          <w:color w:val="auto"/>
          <w:sz w:val="32"/>
          <w:szCs w:val="24"/>
        </w:rPr>
      </w:pPr>
      <w:r w:rsidRPr="00CA2C75">
        <w:rPr>
          <w:rFonts w:ascii="Times New Roman" w:hAnsi="Times New Roman" w:cs="Times New Roman"/>
          <w:color w:val="auto"/>
          <w:sz w:val="22"/>
        </w:rPr>
        <w:t xml:space="preserve">Figure </w:t>
      </w:r>
      <w:r w:rsidRPr="00CA2C75">
        <w:rPr>
          <w:rFonts w:ascii="Times New Roman" w:hAnsi="Times New Roman" w:cs="Times New Roman"/>
          <w:color w:val="auto"/>
          <w:sz w:val="22"/>
        </w:rPr>
        <w:fldChar w:fldCharType="begin"/>
      </w:r>
      <w:r w:rsidRPr="00CA2C75">
        <w:rPr>
          <w:rFonts w:ascii="Times New Roman" w:hAnsi="Times New Roman" w:cs="Times New Roman"/>
          <w:color w:val="auto"/>
          <w:sz w:val="22"/>
        </w:rPr>
        <w:instrText xml:space="preserve"> SEQ Figure \* ARABIC </w:instrText>
      </w:r>
      <w:r w:rsidRPr="00CA2C75">
        <w:rPr>
          <w:rFonts w:ascii="Times New Roman" w:hAnsi="Times New Roman" w:cs="Times New Roman"/>
          <w:color w:val="auto"/>
          <w:sz w:val="22"/>
        </w:rPr>
        <w:fldChar w:fldCharType="separate"/>
      </w:r>
      <w:r w:rsidR="00EE3A31">
        <w:rPr>
          <w:rFonts w:ascii="Times New Roman" w:hAnsi="Times New Roman" w:cs="Times New Roman"/>
          <w:noProof/>
          <w:color w:val="auto"/>
          <w:sz w:val="22"/>
        </w:rPr>
        <w:t>1</w:t>
      </w:r>
      <w:r w:rsidRPr="00CA2C75">
        <w:rPr>
          <w:rFonts w:ascii="Times New Roman" w:hAnsi="Times New Roman" w:cs="Times New Roman"/>
          <w:color w:val="auto"/>
          <w:sz w:val="22"/>
        </w:rPr>
        <w:fldChar w:fldCharType="end"/>
      </w:r>
      <w:r w:rsidRPr="00CA2C75">
        <w:rPr>
          <w:rFonts w:ascii="Times New Roman" w:hAnsi="Times New Roman" w:cs="Times New Roman"/>
          <w:color w:val="auto"/>
          <w:sz w:val="22"/>
        </w:rPr>
        <w:t>: Response difference</w:t>
      </w:r>
    </w:p>
    <w:p w:rsidR="00CA2C75" w:rsidRPr="00CA2C75" w:rsidRDefault="00CA2C75" w:rsidP="00CA2C75">
      <w:pPr>
        <w:shd w:val="clear" w:color="auto" w:fill="FFFFFF"/>
        <w:spacing w:after="0" w:line="480" w:lineRule="auto"/>
        <w:ind w:left="1440"/>
        <w:contextualSpacing/>
        <w:rPr>
          <w:rFonts w:ascii="Times New Roman" w:eastAsia="Times New Roman" w:hAnsi="Times New Roman" w:cs="Times New Roman"/>
          <w:i/>
          <w:sz w:val="24"/>
          <w:szCs w:val="24"/>
        </w:rPr>
      </w:pPr>
      <w:bookmarkStart w:id="0" w:name="_GoBack"/>
      <w:r w:rsidRPr="00CA2C75">
        <w:rPr>
          <w:rFonts w:ascii="Times New Roman" w:eastAsia="Times New Roman" w:hAnsi="Times New Roman" w:cs="Times New Roman"/>
          <w:i/>
          <w:sz w:val="24"/>
          <w:szCs w:val="24"/>
        </w:rPr>
        <w:t xml:space="preserve">Figure 1: Showing the differences in concrete Abstract responses in questions answered by the participants.   </w:t>
      </w:r>
    </w:p>
    <w:bookmarkEnd w:id="0"/>
    <w:p w:rsidR="004355AB" w:rsidRPr="00CA2C75" w:rsidRDefault="004355AB" w:rsidP="00CA2C75">
      <w:pPr>
        <w:shd w:val="clear" w:color="auto" w:fill="FFFFFF"/>
        <w:spacing w:after="0" w:line="480" w:lineRule="auto"/>
        <w:ind w:firstLine="720"/>
        <w:contextualSpacing/>
        <w:rPr>
          <w:rFonts w:ascii="Times New Roman" w:hAnsi="Times New Roman" w:cs="Times New Roman"/>
          <w:color w:val="202124"/>
          <w:sz w:val="24"/>
          <w:szCs w:val="24"/>
          <w:shd w:val="clear" w:color="auto" w:fill="FFFFFF"/>
        </w:rPr>
      </w:pPr>
      <w:r w:rsidRPr="00CA2C75">
        <w:rPr>
          <w:rFonts w:ascii="Times New Roman" w:eastAsia="Times New Roman" w:hAnsi="Times New Roman" w:cs="Times New Roman"/>
          <w:color w:val="2D3B45"/>
          <w:sz w:val="24"/>
          <w:szCs w:val="24"/>
        </w:rPr>
        <w:t>The analysis of Variance (ANOVA) showed that there were no significance differences in judgment within and between the two groups (</w:t>
      </w:r>
      <w:r w:rsidRPr="00CA2C75">
        <w:rPr>
          <w:rFonts w:ascii="Times New Roman" w:hAnsi="Times New Roman" w:cs="Times New Roman"/>
          <w:color w:val="202124"/>
          <w:sz w:val="24"/>
          <w:szCs w:val="24"/>
          <w:shd w:val="clear" w:color="auto" w:fill="FFFFFF"/>
        </w:rPr>
        <w:t>(</w:t>
      </w:r>
      <w:r w:rsidR="00CA2C75" w:rsidRPr="00CA2C75">
        <w:rPr>
          <w:rFonts w:ascii="Times New Roman" w:hAnsi="Times New Roman" w:cs="Times New Roman"/>
          <w:color w:val="202124"/>
          <w:sz w:val="24"/>
          <w:szCs w:val="24"/>
          <w:shd w:val="clear" w:color="auto" w:fill="FFFFFF"/>
        </w:rPr>
        <w:t>F (</w:t>
      </w:r>
      <w:r w:rsidRPr="00CA2C75">
        <w:rPr>
          <w:rFonts w:ascii="Times New Roman" w:hAnsi="Times New Roman" w:cs="Times New Roman"/>
          <w:color w:val="202124"/>
          <w:sz w:val="24"/>
          <w:szCs w:val="24"/>
          <w:shd w:val="clear" w:color="auto" w:fill="FFFFFF"/>
        </w:rPr>
        <w:t>2</w:t>
      </w:r>
      <w:r w:rsidR="00CA2C75" w:rsidRPr="00CA2C75">
        <w:rPr>
          <w:rFonts w:ascii="Times New Roman" w:hAnsi="Times New Roman" w:cs="Times New Roman"/>
          <w:color w:val="202124"/>
          <w:sz w:val="24"/>
          <w:szCs w:val="24"/>
          <w:shd w:val="clear" w:color="auto" w:fill="FFFFFF"/>
        </w:rPr>
        <w:t>, 29</w:t>
      </w:r>
      <w:r w:rsidRPr="00CA2C75">
        <w:rPr>
          <w:rFonts w:ascii="Times New Roman" w:hAnsi="Times New Roman" w:cs="Times New Roman"/>
          <w:color w:val="202124"/>
          <w:sz w:val="24"/>
          <w:szCs w:val="24"/>
          <w:shd w:val="clear" w:color="auto" w:fill="FFFFFF"/>
        </w:rPr>
        <w:t xml:space="preserve">) = </w:t>
      </w:r>
      <w:r w:rsidRPr="00CA2C75">
        <w:rPr>
          <w:rFonts w:ascii="Times New Roman" w:hAnsi="Times New Roman" w:cs="Times New Roman"/>
          <w:sz w:val="24"/>
          <w:szCs w:val="24"/>
        </w:rPr>
        <w:t>1.659</w:t>
      </w:r>
      <w:r w:rsidRPr="00CA2C75">
        <w:rPr>
          <w:rFonts w:ascii="Times New Roman" w:hAnsi="Times New Roman" w:cs="Times New Roman"/>
          <w:color w:val="202124"/>
          <w:sz w:val="24"/>
          <w:szCs w:val="24"/>
          <w:shd w:val="clear" w:color="auto" w:fill="FFFFFF"/>
        </w:rPr>
        <w:t xml:space="preserve">, p = </w:t>
      </w:r>
      <w:proofErr w:type="gramStart"/>
      <w:r w:rsidRPr="00CA2C75">
        <w:rPr>
          <w:rFonts w:ascii="Times New Roman" w:hAnsi="Times New Roman" w:cs="Times New Roman"/>
          <w:color w:val="202124"/>
          <w:sz w:val="24"/>
          <w:szCs w:val="24"/>
          <w:shd w:val="clear" w:color="auto" w:fill="FFFFFF"/>
        </w:rPr>
        <w:t xml:space="preserve">. </w:t>
      </w:r>
      <w:r w:rsidR="00CA2C75" w:rsidRPr="00CA2C75">
        <w:rPr>
          <w:rFonts w:ascii="Times New Roman" w:hAnsi="Times New Roman" w:cs="Times New Roman"/>
          <w:sz w:val="24"/>
          <w:szCs w:val="24"/>
        </w:rPr>
        <w:t>.</w:t>
      </w:r>
      <w:proofErr w:type="gramEnd"/>
      <w:r w:rsidR="00CA2C75" w:rsidRPr="00CA2C75">
        <w:rPr>
          <w:rFonts w:ascii="Times New Roman" w:hAnsi="Times New Roman" w:cs="Times New Roman"/>
          <w:sz w:val="24"/>
          <w:szCs w:val="24"/>
        </w:rPr>
        <w:t xml:space="preserve"> 208</w:t>
      </w:r>
      <w:r w:rsidRPr="00CA2C75">
        <w:rPr>
          <w:rFonts w:ascii="Times New Roman" w:hAnsi="Times New Roman" w:cs="Times New Roman"/>
          <w:color w:val="202124"/>
          <w:sz w:val="24"/>
          <w:szCs w:val="24"/>
          <w:shd w:val="clear" w:color="auto" w:fill="FFFFFF"/>
        </w:rPr>
        <w:t>)")</w:t>
      </w:r>
      <w:r w:rsidRPr="00CA2C75">
        <w:rPr>
          <w:rFonts w:ascii="Times New Roman" w:hAnsi="Times New Roman" w:cs="Times New Roman"/>
          <w:color w:val="202124"/>
          <w:sz w:val="24"/>
          <w:szCs w:val="24"/>
          <w:shd w:val="clear" w:color="auto" w:fill="FFFFFF"/>
        </w:rPr>
        <w:t xml:space="preserve"> and </w:t>
      </w:r>
      <w:r w:rsidRPr="00CA2C75">
        <w:rPr>
          <w:rFonts w:ascii="Times New Roman" w:eastAsia="Times New Roman" w:hAnsi="Times New Roman" w:cs="Times New Roman"/>
          <w:color w:val="2D3B45"/>
          <w:sz w:val="24"/>
          <w:szCs w:val="24"/>
        </w:rPr>
        <w:t>(</w:t>
      </w:r>
      <w:r w:rsidRPr="00CA2C75">
        <w:rPr>
          <w:rFonts w:ascii="Times New Roman" w:hAnsi="Times New Roman" w:cs="Times New Roman"/>
          <w:color w:val="202124"/>
          <w:sz w:val="24"/>
          <w:szCs w:val="24"/>
          <w:shd w:val="clear" w:color="auto" w:fill="FFFFFF"/>
        </w:rPr>
        <w:t xml:space="preserve">(F(2,29) = </w:t>
      </w:r>
      <w:r w:rsidRPr="00CA2C75">
        <w:rPr>
          <w:rFonts w:ascii="Times New Roman" w:hAnsi="Times New Roman" w:cs="Times New Roman"/>
          <w:sz w:val="24"/>
          <w:szCs w:val="24"/>
        </w:rPr>
        <w:t>.045</w:t>
      </w:r>
      <w:r w:rsidRPr="00CA2C75">
        <w:rPr>
          <w:rFonts w:ascii="Times New Roman" w:hAnsi="Times New Roman" w:cs="Times New Roman"/>
          <w:color w:val="202124"/>
          <w:sz w:val="24"/>
          <w:szCs w:val="24"/>
          <w:shd w:val="clear" w:color="auto" w:fill="FFFFFF"/>
        </w:rPr>
        <w:t xml:space="preserve">, p = . </w:t>
      </w:r>
      <w:r w:rsidRPr="00CA2C75">
        <w:rPr>
          <w:rFonts w:ascii="Times New Roman" w:hAnsi="Times New Roman" w:cs="Times New Roman"/>
          <w:sz w:val="24"/>
          <w:szCs w:val="24"/>
        </w:rPr>
        <w:t>.833</w:t>
      </w:r>
      <w:r w:rsidRPr="00CA2C75">
        <w:rPr>
          <w:rFonts w:ascii="Times New Roman" w:hAnsi="Times New Roman" w:cs="Times New Roman"/>
          <w:color w:val="202124"/>
          <w:sz w:val="24"/>
          <w:szCs w:val="24"/>
          <w:shd w:val="clear" w:color="auto" w:fill="FFFFFF"/>
        </w:rPr>
        <w:t>)")</w:t>
      </w:r>
      <w:r w:rsidRPr="00CA2C75">
        <w:rPr>
          <w:rFonts w:ascii="Times New Roman" w:hAnsi="Times New Roman" w:cs="Times New Roman"/>
          <w:color w:val="202124"/>
          <w:sz w:val="24"/>
          <w:szCs w:val="24"/>
          <w:shd w:val="clear" w:color="auto" w:fill="FFFFFF"/>
        </w:rPr>
        <w:t>. The means distribution is well shown in the figure 1.0 above. The T test also showed no significance differences between the difference measures of judgments</w:t>
      </w:r>
      <w:r w:rsidR="00EA3D49" w:rsidRPr="00CA2C75">
        <w:rPr>
          <w:rFonts w:ascii="Times New Roman" w:hAnsi="Times New Roman" w:cs="Times New Roman"/>
          <w:color w:val="202124"/>
          <w:sz w:val="24"/>
          <w:szCs w:val="24"/>
          <w:shd w:val="clear" w:color="auto" w:fill="FFFFFF"/>
        </w:rPr>
        <w:t xml:space="preserve"> (F, 15= 3.932, p=0.057)</w:t>
      </w:r>
      <w:r w:rsidRPr="00CA2C75">
        <w:rPr>
          <w:rFonts w:ascii="Times New Roman" w:hAnsi="Times New Roman" w:cs="Times New Roman"/>
          <w:color w:val="202124"/>
          <w:sz w:val="24"/>
          <w:szCs w:val="24"/>
          <w:shd w:val="clear" w:color="auto" w:fill="FFFFFF"/>
        </w:rPr>
        <w:t xml:space="preserve">. </w:t>
      </w:r>
      <w:r w:rsidR="00EA3D49" w:rsidRPr="00CA2C75">
        <w:rPr>
          <w:rFonts w:ascii="Times New Roman" w:hAnsi="Times New Roman" w:cs="Times New Roman"/>
          <w:color w:val="202124"/>
          <w:sz w:val="24"/>
          <w:szCs w:val="24"/>
          <w:shd w:val="clear" w:color="auto" w:fill="FFFFFF"/>
        </w:rPr>
        <w:t xml:space="preserve">The resulting graphs are shown </w:t>
      </w:r>
      <w:r w:rsidR="00EE3A31">
        <w:rPr>
          <w:rFonts w:ascii="Times New Roman" w:hAnsi="Times New Roman" w:cs="Times New Roman"/>
          <w:color w:val="202124"/>
          <w:sz w:val="24"/>
          <w:szCs w:val="24"/>
          <w:shd w:val="clear" w:color="auto" w:fill="FFFFFF"/>
        </w:rPr>
        <w:t xml:space="preserve">in figures 2 and figure 3 below. </w:t>
      </w:r>
      <w:r w:rsidR="00EA3D49" w:rsidRPr="00CA2C75">
        <w:rPr>
          <w:rFonts w:ascii="Times New Roman" w:hAnsi="Times New Roman" w:cs="Times New Roman"/>
          <w:color w:val="202124"/>
          <w:sz w:val="24"/>
          <w:szCs w:val="24"/>
          <w:shd w:val="clear" w:color="auto" w:fill="FFFFFF"/>
        </w:rPr>
        <w:t xml:space="preserve"> </w:t>
      </w:r>
    </w:p>
    <w:p w:rsidR="00CA2C75" w:rsidRPr="00CA2C75" w:rsidRDefault="00CA2C75" w:rsidP="00CA2C75">
      <w:pPr>
        <w:shd w:val="clear" w:color="auto" w:fill="FFFFFF"/>
        <w:spacing w:after="0" w:line="480" w:lineRule="auto"/>
        <w:contextualSpacing/>
        <w:rPr>
          <w:rFonts w:ascii="Times New Roman" w:hAnsi="Times New Roman" w:cs="Times New Roman"/>
          <w:color w:val="202124"/>
          <w:sz w:val="24"/>
          <w:szCs w:val="24"/>
          <w:shd w:val="clear" w:color="auto" w:fill="FFFFFF"/>
        </w:rPr>
      </w:pPr>
    </w:p>
    <w:p w:rsidR="00CA2C75" w:rsidRDefault="00CA2C75" w:rsidP="00CA2C75">
      <w:pPr>
        <w:keepNext/>
        <w:shd w:val="clear" w:color="auto" w:fill="FFFFFF"/>
        <w:spacing w:after="0" w:line="480" w:lineRule="auto"/>
        <w:contextualSpacing/>
      </w:pPr>
      <w:r w:rsidRPr="00CA2C75">
        <w:rPr>
          <w:rFonts w:ascii="Times New Roman" w:hAnsi="Times New Roman" w:cs="Times New Roman"/>
          <w:noProof/>
          <w:sz w:val="24"/>
          <w:szCs w:val="24"/>
        </w:rPr>
        <w:drawing>
          <wp:inline distT="0" distB="0" distL="0" distR="0" wp14:anchorId="16475376" wp14:editId="4959878B">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2C75" w:rsidRPr="00EE3A31" w:rsidRDefault="00CA2C75" w:rsidP="00CA2C75">
      <w:pPr>
        <w:pStyle w:val="Caption"/>
        <w:rPr>
          <w:rFonts w:ascii="Times New Roman" w:eastAsia="Times New Roman" w:hAnsi="Times New Roman" w:cs="Times New Roman"/>
          <w:b w:val="0"/>
          <w:i/>
          <w:color w:val="auto"/>
          <w:sz w:val="32"/>
          <w:szCs w:val="24"/>
        </w:rPr>
      </w:pPr>
      <w:r w:rsidRPr="00EE3A31">
        <w:rPr>
          <w:rFonts w:ascii="Times New Roman" w:hAnsi="Times New Roman" w:cs="Times New Roman"/>
          <w:b w:val="0"/>
          <w:i/>
          <w:color w:val="auto"/>
          <w:sz w:val="22"/>
        </w:rPr>
        <w:t xml:space="preserve">Figure </w:t>
      </w:r>
      <w:r w:rsidRPr="00EE3A31">
        <w:rPr>
          <w:rFonts w:ascii="Times New Roman" w:hAnsi="Times New Roman" w:cs="Times New Roman"/>
          <w:b w:val="0"/>
          <w:i/>
          <w:color w:val="auto"/>
          <w:sz w:val="22"/>
        </w:rPr>
        <w:fldChar w:fldCharType="begin"/>
      </w:r>
      <w:r w:rsidRPr="00EE3A31">
        <w:rPr>
          <w:rFonts w:ascii="Times New Roman" w:hAnsi="Times New Roman" w:cs="Times New Roman"/>
          <w:b w:val="0"/>
          <w:i/>
          <w:color w:val="auto"/>
          <w:sz w:val="22"/>
        </w:rPr>
        <w:instrText xml:space="preserve"> SEQ Figure \* ARABIC </w:instrText>
      </w:r>
      <w:r w:rsidRPr="00EE3A31">
        <w:rPr>
          <w:rFonts w:ascii="Times New Roman" w:hAnsi="Times New Roman" w:cs="Times New Roman"/>
          <w:b w:val="0"/>
          <w:i/>
          <w:color w:val="auto"/>
          <w:sz w:val="22"/>
        </w:rPr>
        <w:fldChar w:fldCharType="separate"/>
      </w:r>
      <w:r w:rsidR="00EE3A31">
        <w:rPr>
          <w:rFonts w:ascii="Times New Roman" w:hAnsi="Times New Roman" w:cs="Times New Roman"/>
          <w:b w:val="0"/>
          <w:i/>
          <w:noProof/>
          <w:color w:val="auto"/>
          <w:sz w:val="22"/>
        </w:rPr>
        <w:t>2</w:t>
      </w:r>
      <w:r w:rsidRPr="00EE3A31">
        <w:rPr>
          <w:rFonts w:ascii="Times New Roman" w:hAnsi="Times New Roman" w:cs="Times New Roman"/>
          <w:b w:val="0"/>
          <w:i/>
          <w:color w:val="auto"/>
          <w:sz w:val="22"/>
        </w:rPr>
        <w:fldChar w:fldCharType="end"/>
      </w:r>
      <w:r w:rsidR="00EE3A31" w:rsidRPr="00EE3A31">
        <w:rPr>
          <w:rFonts w:ascii="Times New Roman" w:hAnsi="Times New Roman" w:cs="Times New Roman"/>
          <w:b w:val="0"/>
          <w:i/>
          <w:color w:val="auto"/>
          <w:sz w:val="22"/>
        </w:rPr>
        <w:t xml:space="preserve">: </w:t>
      </w:r>
      <w:r w:rsidRPr="00EE3A31">
        <w:rPr>
          <w:rFonts w:ascii="Times New Roman" w:hAnsi="Times New Roman" w:cs="Times New Roman"/>
          <w:b w:val="0"/>
          <w:i/>
          <w:color w:val="auto"/>
          <w:sz w:val="22"/>
        </w:rPr>
        <w:t>T mean differences in responses between concert and Abstract Responses</w:t>
      </w:r>
    </w:p>
    <w:p w:rsidR="00CA2C75" w:rsidRPr="00CA2C75" w:rsidRDefault="00CA2C75" w:rsidP="00CA2C75">
      <w:pPr>
        <w:shd w:val="clear" w:color="auto" w:fill="FFFFFF"/>
        <w:spacing w:after="0" w:line="480" w:lineRule="auto"/>
        <w:contextualSpacing/>
        <w:rPr>
          <w:rFonts w:ascii="Times New Roman" w:eastAsia="Times New Roman" w:hAnsi="Times New Roman" w:cs="Times New Roman"/>
          <w:color w:val="2D3B45"/>
          <w:sz w:val="24"/>
          <w:szCs w:val="24"/>
        </w:rPr>
      </w:pPr>
    </w:p>
    <w:p w:rsidR="00EE3A31" w:rsidRDefault="00CA2C75" w:rsidP="00EE3A31">
      <w:pPr>
        <w:keepNext/>
        <w:shd w:val="clear" w:color="auto" w:fill="FFFFFF"/>
        <w:spacing w:after="0" w:line="480" w:lineRule="auto"/>
        <w:contextualSpacing/>
      </w:pPr>
      <w:r w:rsidRPr="00CA2C75">
        <w:rPr>
          <w:rFonts w:ascii="Times New Roman" w:hAnsi="Times New Roman" w:cs="Times New Roman"/>
          <w:noProof/>
          <w:sz w:val="24"/>
          <w:szCs w:val="24"/>
        </w:rPr>
        <w:drawing>
          <wp:inline distT="0" distB="0" distL="0" distR="0" wp14:anchorId="080ACFF2" wp14:editId="21D81C4E">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2C75" w:rsidRPr="00EE3A31" w:rsidRDefault="00EE3A31" w:rsidP="00EE3A31">
      <w:pPr>
        <w:pStyle w:val="Caption"/>
        <w:jc w:val="center"/>
        <w:rPr>
          <w:rFonts w:ascii="Times New Roman" w:eastAsia="Times New Roman" w:hAnsi="Times New Roman" w:cs="Times New Roman"/>
          <w:color w:val="auto"/>
          <w:sz w:val="32"/>
          <w:szCs w:val="24"/>
        </w:rPr>
      </w:pPr>
      <w:r w:rsidRPr="00EE3A31">
        <w:rPr>
          <w:rFonts w:ascii="Times New Roman" w:hAnsi="Times New Roman" w:cs="Times New Roman"/>
          <w:color w:val="auto"/>
          <w:sz w:val="22"/>
        </w:rPr>
        <w:t xml:space="preserve">Figure </w:t>
      </w:r>
      <w:r w:rsidRPr="00EE3A31">
        <w:rPr>
          <w:rFonts w:ascii="Times New Roman" w:hAnsi="Times New Roman" w:cs="Times New Roman"/>
          <w:color w:val="auto"/>
          <w:sz w:val="22"/>
        </w:rPr>
        <w:fldChar w:fldCharType="begin"/>
      </w:r>
      <w:r w:rsidRPr="00EE3A31">
        <w:rPr>
          <w:rFonts w:ascii="Times New Roman" w:hAnsi="Times New Roman" w:cs="Times New Roman"/>
          <w:color w:val="auto"/>
          <w:sz w:val="22"/>
        </w:rPr>
        <w:instrText xml:space="preserve"> SEQ Figure \* ARABIC </w:instrText>
      </w:r>
      <w:r w:rsidRPr="00EE3A31">
        <w:rPr>
          <w:rFonts w:ascii="Times New Roman" w:hAnsi="Times New Roman" w:cs="Times New Roman"/>
          <w:color w:val="auto"/>
          <w:sz w:val="22"/>
        </w:rPr>
        <w:fldChar w:fldCharType="separate"/>
      </w:r>
      <w:r w:rsidRPr="00EE3A31">
        <w:rPr>
          <w:rFonts w:ascii="Times New Roman" w:hAnsi="Times New Roman" w:cs="Times New Roman"/>
          <w:noProof/>
          <w:color w:val="auto"/>
          <w:sz w:val="22"/>
        </w:rPr>
        <w:t>3</w:t>
      </w:r>
      <w:r w:rsidRPr="00EE3A31">
        <w:rPr>
          <w:rFonts w:ascii="Times New Roman" w:hAnsi="Times New Roman" w:cs="Times New Roman"/>
          <w:color w:val="auto"/>
          <w:sz w:val="22"/>
        </w:rPr>
        <w:fldChar w:fldCharType="end"/>
      </w:r>
      <w:r w:rsidRPr="00EE3A31">
        <w:rPr>
          <w:rFonts w:ascii="Times New Roman" w:hAnsi="Times New Roman" w:cs="Times New Roman"/>
          <w:color w:val="auto"/>
          <w:sz w:val="22"/>
        </w:rPr>
        <w:t>: Judgment Comparison.</w:t>
      </w:r>
    </w:p>
    <w:p w:rsidR="00EE3A31" w:rsidRPr="00EE3A31" w:rsidRDefault="00EE3A31" w:rsidP="00EE3A31">
      <w:pPr>
        <w:rPr>
          <w:rFonts w:ascii="Times New Roman" w:eastAsia="Times New Roman" w:hAnsi="Times New Roman" w:cs="Times New Roman"/>
          <w:b/>
          <w:bCs/>
          <w:color w:val="236FA1"/>
          <w:sz w:val="24"/>
          <w:szCs w:val="24"/>
        </w:rPr>
      </w:pPr>
    </w:p>
    <w:sectPr w:rsidR="00EE3A31" w:rsidRPr="00EE3A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92281"/>
    <w:multiLevelType w:val="multilevel"/>
    <w:tmpl w:val="D4A8C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43"/>
    <w:rsid w:val="00333943"/>
    <w:rsid w:val="003B151B"/>
    <w:rsid w:val="004355AB"/>
    <w:rsid w:val="00A70DB1"/>
    <w:rsid w:val="00CA2C75"/>
    <w:rsid w:val="00EA3D49"/>
    <w:rsid w:val="00EE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AB"/>
    <w:rPr>
      <w:rFonts w:ascii="Tahoma" w:hAnsi="Tahoma" w:cs="Tahoma"/>
      <w:sz w:val="16"/>
      <w:szCs w:val="16"/>
    </w:rPr>
  </w:style>
  <w:style w:type="paragraph" w:styleId="Caption">
    <w:name w:val="caption"/>
    <w:basedOn w:val="Normal"/>
    <w:next w:val="Normal"/>
    <w:uiPriority w:val="35"/>
    <w:unhideWhenUsed/>
    <w:qFormat/>
    <w:rsid w:val="00CA2C7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AB"/>
    <w:rPr>
      <w:rFonts w:ascii="Tahoma" w:hAnsi="Tahoma" w:cs="Tahoma"/>
      <w:sz w:val="16"/>
      <w:szCs w:val="16"/>
    </w:rPr>
  </w:style>
  <w:style w:type="paragraph" w:styleId="Caption">
    <w:name w:val="caption"/>
    <w:basedOn w:val="Normal"/>
    <w:next w:val="Normal"/>
    <w:uiPriority w:val="35"/>
    <w:unhideWhenUsed/>
    <w:qFormat/>
    <w:rsid w:val="00CA2C7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aison\2021\June\Simon%20Claire\Metacognition%20data-1.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aison\2021\June\Simon%20Claire\Metacognition%20data-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Judgements</a:t>
            </a:r>
            <a:r>
              <a:rPr lang="en-US" baseline="0"/>
              <a:t> Abstracts Comparisons</a:t>
            </a:r>
            <a:endParaRPr lang="en-US"/>
          </a:p>
        </c:rich>
      </c:tx>
      <c:overlay val="0"/>
      <c:spPr>
        <a:noFill/>
        <a:ln>
          <a:noFill/>
        </a:ln>
        <a:effectLst/>
      </c:spPr>
    </c:title>
    <c:autoTitleDeleted val="0"/>
    <c:plotArea>
      <c:layout/>
      <c:barChart>
        <c:barDir val="col"/>
        <c:grouping val="clustered"/>
        <c:varyColors val="0"/>
        <c:ser>
          <c:idx val="0"/>
          <c:order val="0"/>
          <c:tx>
            <c:strRef>
              <c:f>'Metacognition data-1'!$D$1</c:f>
              <c:strCache>
                <c:ptCount val="1"/>
                <c:pt idx="0">
                  <c:v>Judge Abstract-Large</c:v>
                </c:pt>
              </c:strCache>
            </c:strRef>
          </c:tx>
          <c:spPr>
            <a:solidFill>
              <a:schemeClr val="accent1"/>
            </a:solidFill>
            <a:ln>
              <a:noFill/>
            </a:ln>
            <a:effectLst/>
          </c:spPr>
          <c:invertIfNegative val="0"/>
          <c:val>
            <c:numRef>
              <c:f>'Metacognition data-1'!$D$2:$D$16</c:f>
              <c:numCache>
                <c:formatCode>General</c:formatCode>
                <c:ptCount val="15"/>
                <c:pt idx="0">
                  <c:v>38.5</c:v>
                </c:pt>
                <c:pt idx="1">
                  <c:v>15.1</c:v>
                </c:pt>
                <c:pt idx="2">
                  <c:v>31.5</c:v>
                </c:pt>
                <c:pt idx="3">
                  <c:v>48</c:v>
                </c:pt>
                <c:pt idx="4">
                  <c:v>23</c:v>
                </c:pt>
                <c:pt idx="5">
                  <c:v>37.5</c:v>
                </c:pt>
                <c:pt idx="6">
                  <c:v>55</c:v>
                </c:pt>
                <c:pt idx="7">
                  <c:v>28</c:v>
                </c:pt>
                <c:pt idx="8">
                  <c:v>44</c:v>
                </c:pt>
                <c:pt idx="9">
                  <c:v>52</c:v>
                </c:pt>
                <c:pt idx="10">
                  <c:v>48</c:v>
                </c:pt>
                <c:pt idx="11">
                  <c:v>40</c:v>
                </c:pt>
                <c:pt idx="12">
                  <c:v>36.299999999999997</c:v>
                </c:pt>
                <c:pt idx="13">
                  <c:v>56</c:v>
                </c:pt>
                <c:pt idx="14">
                  <c:v>28.7</c:v>
                </c:pt>
              </c:numCache>
            </c:numRef>
          </c:val>
        </c:ser>
        <c:ser>
          <c:idx val="1"/>
          <c:order val="1"/>
          <c:tx>
            <c:strRef>
              <c:f>'Metacognition data-1'!$E$1</c:f>
              <c:strCache>
                <c:ptCount val="1"/>
                <c:pt idx="0">
                  <c:v>Judge Abstract-Small</c:v>
                </c:pt>
              </c:strCache>
            </c:strRef>
          </c:tx>
          <c:spPr>
            <a:solidFill>
              <a:schemeClr val="accent2"/>
            </a:solidFill>
            <a:ln>
              <a:noFill/>
            </a:ln>
            <a:effectLst/>
          </c:spPr>
          <c:invertIfNegative val="0"/>
          <c:val>
            <c:numRef>
              <c:f>'Metacognition data-1'!$E$2:$E$16</c:f>
              <c:numCache>
                <c:formatCode>General</c:formatCode>
                <c:ptCount val="15"/>
                <c:pt idx="0">
                  <c:v>55</c:v>
                </c:pt>
                <c:pt idx="1">
                  <c:v>15.1</c:v>
                </c:pt>
                <c:pt idx="2">
                  <c:v>28.5</c:v>
                </c:pt>
                <c:pt idx="3">
                  <c:v>64</c:v>
                </c:pt>
                <c:pt idx="4">
                  <c:v>35</c:v>
                </c:pt>
                <c:pt idx="5">
                  <c:v>46</c:v>
                </c:pt>
                <c:pt idx="6">
                  <c:v>55.5</c:v>
                </c:pt>
                <c:pt idx="7">
                  <c:v>24</c:v>
                </c:pt>
                <c:pt idx="8">
                  <c:v>58.5</c:v>
                </c:pt>
                <c:pt idx="9">
                  <c:v>63</c:v>
                </c:pt>
                <c:pt idx="10">
                  <c:v>62</c:v>
                </c:pt>
                <c:pt idx="11">
                  <c:v>51.1</c:v>
                </c:pt>
                <c:pt idx="12">
                  <c:v>55.3</c:v>
                </c:pt>
                <c:pt idx="13">
                  <c:v>60.5</c:v>
                </c:pt>
                <c:pt idx="14">
                  <c:v>45.6</c:v>
                </c:pt>
              </c:numCache>
            </c:numRef>
          </c:val>
        </c:ser>
        <c:dLbls>
          <c:showLegendKey val="0"/>
          <c:showVal val="0"/>
          <c:showCatName val="0"/>
          <c:showSerName val="0"/>
          <c:showPercent val="0"/>
          <c:showBubbleSize val="0"/>
        </c:dLbls>
        <c:gapWidth val="219"/>
        <c:overlap val="-27"/>
        <c:axId val="319203968"/>
        <c:axId val="326234496"/>
      </c:barChart>
      <c:catAx>
        <c:axId val="3192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234496"/>
        <c:crosses val="autoZero"/>
        <c:auto val="1"/>
        <c:lblAlgn val="ctr"/>
        <c:lblOffset val="100"/>
        <c:noMultiLvlLbl val="0"/>
      </c:catAx>
      <c:valAx>
        <c:axId val="32623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20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Judgements</a:t>
            </a:r>
            <a:r>
              <a:rPr lang="en-US" baseline="0"/>
              <a:t> Concrete Size Comparisons</a:t>
            </a:r>
            <a:endParaRPr lang="en-US"/>
          </a:p>
        </c:rich>
      </c:tx>
      <c:overlay val="0"/>
      <c:spPr>
        <a:noFill/>
        <a:ln>
          <a:noFill/>
        </a:ln>
        <a:effectLst/>
      </c:spPr>
    </c:title>
    <c:autoTitleDeleted val="0"/>
    <c:plotArea>
      <c:layout/>
      <c:barChart>
        <c:barDir val="col"/>
        <c:grouping val="clustered"/>
        <c:varyColors val="0"/>
        <c:ser>
          <c:idx val="0"/>
          <c:order val="0"/>
          <c:tx>
            <c:strRef>
              <c:f>'Metacognition data-1'!$F$1</c:f>
              <c:strCache>
                <c:ptCount val="1"/>
                <c:pt idx="0">
                  <c:v>Judge Concrete-Large</c:v>
                </c:pt>
              </c:strCache>
            </c:strRef>
          </c:tx>
          <c:spPr>
            <a:solidFill>
              <a:schemeClr val="accent1"/>
            </a:solidFill>
            <a:ln>
              <a:noFill/>
            </a:ln>
            <a:effectLst/>
          </c:spPr>
          <c:invertIfNegative val="0"/>
          <c:val>
            <c:numRef>
              <c:f>'Metacognition data-1'!$F$2:$F$16</c:f>
              <c:numCache>
                <c:formatCode>General</c:formatCode>
                <c:ptCount val="15"/>
                <c:pt idx="0">
                  <c:v>58</c:v>
                </c:pt>
                <c:pt idx="1">
                  <c:v>23.9</c:v>
                </c:pt>
                <c:pt idx="2">
                  <c:v>60</c:v>
                </c:pt>
                <c:pt idx="3">
                  <c:v>61</c:v>
                </c:pt>
                <c:pt idx="4">
                  <c:v>21.5</c:v>
                </c:pt>
                <c:pt idx="5">
                  <c:v>63</c:v>
                </c:pt>
                <c:pt idx="6">
                  <c:v>64.5</c:v>
                </c:pt>
                <c:pt idx="7">
                  <c:v>33</c:v>
                </c:pt>
                <c:pt idx="8">
                  <c:v>44</c:v>
                </c:pt>
                <c:pt idx="9">
                  <c:v>55</c:v>
                </c:pt>
                <c:pt idx="10">
                  <c:v>60</c:v>
                </c:pt>
                <c:pt idx="11">
                  <c:v>40</c:v>
                </c:pt>
                <c:pt idx="12">
                  <c:v>66.3</c:v>
                </c:pt>
                <c:pt idx="13">
                  <c:v>49</c:v>
                </c:pt>
                <c:pt idx="14">
                  <c:v>39.5</c:v>
                </c:pt>
              </c:numCache>
            </c:numRef>
          </c:val>
        </c:ser>
        <c:ser>
          <c:idx val="1"/>
          <c:order val="1"/>
          <c:tx>
            <c:strRef>
              <c:f>'Metacognition data-1'!$G$1</c:f>
              <c:strCache>
                <c:ptCount val="1"/>
                <c:pt idx="0">
                  <c:v>Judge Concrete Small</c:v>
                </c:pt>
              </c:strCache>
            </c:strRef>
          </c:tx>
          <c:spPr>
            <a:solidFill>
              <a:schemeClr val="accent2"/>
            </a:solidFill>
            <a:ln>
              <a:noFill/>
            </a:ln>
            <a:effectLst/>
          </c:spPr>
          <c:invertIfNegative val="0"/>
          <c:val>
            <c:numRef>
              <c:f>'Metacognition data-1'!$G$2:$G$16</c:f>
              <c:numCache>
                <c:formatCode>General</c:formatCode>
                <c:ptCount val="15"/>
                <c:pt idx="0">
                  <c:v>41.5</c:v>
                </c:pt>
                <c:pt idx="1">
                  <c:v>4.5999999999999996</c:v>
                </c:pt>
                <c:pt idx="2">
                  <c:v>43.5</c:v>
                </c:pt>
                <c:pt idx="3">
                  <c:v>38.6</c:v>
                </c:pt>
                <c:pt idx="4">
                  <c:v>20.5</c:v>
                </c:pt>
                <c:pt idx="5">
                  <c:v>46</c:v>
                </c:pt>
                <c:pt idx="6">
                  <c:v>67</c:v>
                </c:pt>
                <c:pt idx="7">
                  <c:v>33</c:v>
                </c:pt>
                <c:pt idx="8">
                  <c:v>27.8</c:v>
                </c:pt>
                <c:pt idx="9">
                  <c:v>55</c:v>
                </c:pt>
                <c:pt idx="10">
                  <c:v>70</c:v>
                </c:pt>
                <c:pt idx="11">
                  <c:v>38</c:v>
                </c:pt>
                <c:pt idx="12">
                  <c:v>50.6</c:v>
                </c:pt>
                <c:pt idx="13">
                  <c:v>39</c:v>
                </c:pt>
                <c:pt idx="14">
                  <c:v>34.700000000000003</c:v>
                </c:pt>
              </c:numCache>
            </c:numRef>
          </c:val>
        </c:ser>
        <c:dLbls>
          <c:showLegendKey val="0"/>
          <c:showVal val="0"/>
          <c:showCatName val="0"/>
          <c:showSerName val="0"/>
          <c:showPercent val="0"/>
          <c:showBubbleSize val="0"/>
        </c:dLbls>
        <c:gapWidth val="219"/>
        <c:overlap val="-27"/>
        <c:axId val="326579328"/>
        <c:axId val="326580864"/>
      </c:barChart>
      <c:catAx>
        <c:axId val="32657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80864"/>
        <c:crosses val="autoZero"/>
        <c:auto val="1"/>
        <c:lblAlgn val="ctr"/>
        <c:lblOffset val="100"/>
        <c:noMultiLvlLbl val="0"/>
      </c:catAx>
      <c:valAx>
        <c:axId val="32658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7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2021-06-05T02:27:00Z</dcterms:created>
  <dcterms:modified xsi:type="dcterms:W3CDTF">2021-06-05T03:14:00Z</dcterms:modified>
</cp:coreProperties>
</file>