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624AFC"/>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255CA09F" w14:textId="77777777" w:rsidR="009F74DC" w:rsidRDefault="009F74DC" w:rsidP="00922BCF">
      <w:pPr>
        <w:spacing w:line="480" w:lineRule="auto"/>
        <w:ind w:firstLine="720"/>
        <w:jc w:val="center"/>
      </w:pPr>
      <w:r>
        <w:t xml:space="preserve">Role of Technology in Healthcare </w:t>
      </w:r>
    </w:p>
    <w:p w14:paraId="6CCB5F0E" w14:textId="6D8AC548"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4E97AF31" w14:textId="0E6A0C6D" w:rsidR="007D4494" w:rsidRDefault="009F74DC" w:rsidP="007D4494">
      <w:pPr>
        <w:spacing w:line="480" w:lineRule="auto"/>
        <w:ind w:firstLine="720"/>
        <w:jc w:val="center"/>
      </w:pPr>
      <w:r>
        <w:lastRenderedPageBreak/>
        <w:t>Role of Technology in Healthcare</w:t>
      </w:r>
    </w:p>
    <w:p w14:paraId="6DE7D58A" w14:textId="77777777" w:rsidR="00EB45E3" w:rsidRDefault="00EB45E3" w:rsidP="00EB45E3">
      <w:pPr>
        <w:spacing w:line="480" w:lineRule="auto"/>
        <w:ind w:firstLine="720"/>
      </w:pPr>
      <w:r>
        <w:t>While providing care for a patient with diabetes, our organization's use of electronic health records proved extremely advantageous in offering efficient and quality medical care. Electronic Health Records (EHRs) refer to the software containing updated patient records that are accessed by authorized persons in the organization to offer real time information about specific patients. In our organization, electronic health records have a variety of patient data from background information to possible future illnesses and various prevention and control measures options. Thus in the case of the patient with diabetes, its efficiency could be primarily attributed to its effective electronic health records.</w:t>
      </w:r>
    </w:p>
    <w:p w14:paraId="71F7EF0A" w14:textId="77777777" w:rsidR="00EB45E3" w:rsidRDefault="00EB45E3" w:rsidP="00EB45E3">
      <w:pPr>
        <w:spacing w:line="480" w:lineRule="auto"/>
        <w:ind w:firstLine="720"/>
      </w:pPr>
      <w:r>
        <w:t>The most significant role that electronic health records played in providing care to the diabetic patient was saving time. Earlier, when the organization had not adopted the EHR technology, the time consumed while recording customer information caused massive delays, and there never lacked complaints in the waiting area. Additionally, filling the forms used to be cumbersome to patients, and some filed-in information would be continuously misinterpreted. In contrast, electronic health records technology allows patients to answer simple questions that the software is then interpreted to provide more complex answers. Once a client fills in the necessary details, they are stored in the organization servers, where they are retrieved with a click of a button. Unlike in the past, patient information does not have to be moved in the form of paper from the reception desk to the physician's chambers or the patients' ward. Since the data is stored in the company's servers, it can be accessed anywhere within its network (Nguyen et al., 2019). Thus, it was quicker to diagnose, treat, and prescribe drugs and procedures for the patient with diabetes.</w:t>
      </w:r>
    </w:p>
    <w:p w14:paraId="4F9A3FA7" w14:textId="77777777" w:rsidR="00EB45E3" w:rsidRDefault="00EB45E3" w:rsidP="00EB45E3">
      <w:pPr>
        <w:spacing w:line="480" w:lineRule="auto"/>
        <w:ind w:firstLine="720"/>
      </w:pPr>
      <w:r>
        <w:t>The electronic health records perfected the overall care provision for our diabetic patient. Our EHR system presented tools that ensured proper follow up on the patient to prevent the illness's propagation. Our patient's cholesterol levels managed to reduce more significantly compared to patients treated before the adoption of electronic health records (Robbins et al., 2018). The patient's HbAc1 levels and blood pressure also improved mostly due to the increased follow-up procedures and accuracy of the methods incorporated in the organization's electronic health records.</w:t>
      </w:r>
    </w:p>
    <w:p w14:paraId="6B88CE98" w14:textId="77777777" w:rsidR="00EB45E3" w:rsidRDefault="00EB45E3" w:rsidP="00EB45E3">
      <w:pPr>
        <w:spacing w:line="480" w:lineRule="auto"/>
        <w:ind w:firstLine="720"/>
      </w:pPr>
      <w:r>
        <w:t>Moreover, the overall efficiency in the process of diagnosis and decision – making, as made available by the organization's EHR system, led to an improved outcome. The EHR systems ensured more rampant and improved methods of signal detection analysis on patients with diabetes. This helps physicians detect diabetes in its early stages and provide solutions before the illness becomes unmanageable. The technology integrated into electronic health records also helps recognize diabetic patients even when they report other forms of diseases. Identifying these patients allows the physician to be careful in decision making, especially where drug prescriptions are concerned (Nguyen et al., 2019). Also, these systems provide a chance for patients to interact with their health care providers. This interaction allows them to report any problem arising from their condition beforehand, and the medical practitioner can decide whether the patient needs to visit the hospital.</w:t>
      </w:r>
    </w:p>
    <w:p w14:paraId="329BE757" w14:textId="7A6A90C1" w:rsidR="00E96A0F" w:rsidRPr="00CD42E5" w:rsidRDefault="00EB45E3" w:rsidP="00EB45E3">
      <w:pPr>
        <w:spacing w:line="480" w:lineRule="auto"/>
        <w:ind w:firstLine="720"/>
      </w:pPr>
      <w:r>
        <w:t>In a nutshell, electronic health records, as a technology whose primary goal is to provide patient-centered care, can help increase an organization's efficiency and quality of care. For diabetic patients, the EHR systems assist in multiple ways, including saving time, providing follow up tools, and helping in diagnosis and decision making processes to improve the overall quality of care. Thus patients with pre-diabetes can be recognized and granted treatment procedures to prevent further propagation of the disease. Healthcare providers should prioritize the adoption of electronic health records.</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3334E395" w14:textId="77777777" w:rsidR="00CD42E5" w:rsidRDefault="00CD42E5" w:rsidP="00C61E67">
      <w:pPr>
        <w:spacing w:line="480" w:lineRule="auto"/>
        <w:ind w:left="720" w:hanging="720"/>
        <w:rPr>
          <w:rFonts w:eastAsia="Calibri"/>
        </w:rPr>
      </w:pPr>
      <w:r w:rsidRPr="00CD42E5">
        <w:rPr>
          <w:rFonts w:eastAsia="Calibri"/>
        </w:rPr>
        <w:t xml:space="preserve">Nguyen, B. P., Pham, H. N., Tran, H., </w:t>
      </w:r>
      <w:proofErr w:type="spellStart"/>
      <w:r w:rsidRPr="00CD42E5">
        <w:rPr>
          <w:rFonts w:eastAsia="Calibri"/>
        </w:rPr>
        <w:t>Nghiem</w:t>
      </w:r>
      <w:proofErr w:type="spellEnd"/>
      <w:r w:rsidRPr="00CD42E5">
        <w:rPr>
          <w:rFonts w:eastAsia="Calibri"/>
        </w:rPr>
        <w:t>, N., Nguyen, Q. H., Do, T. T., ... &amp; Simpson, C. R. (2019). Predicting the onset of type 2 diabetes using wide and deep learning with electronic health records. </w:t>
      </w:r>
      <w:r w:rsidRPr="00CD42E5">
        <w:rPr>
          <w:rFonts w:eastAsia="Calibri"/>
          <w:i/>
          <w:iCs/>
        </w:rPr>
        <w:t>Computer methods and programs in biomedicine</w:t>
      </w:r>
      <w:r w:rsidRPr="00CD42E5">
        <w:rPr>
          <w:rFonts w:eastAsia="Calibri"/>
        </w:rPr>
        <w:t>, </w:t>
      </w:r>
      <w:r w:rsidRPr="00CD42E5">
        <w:rPr>
          <w:rFonts w:eastAsia="Calibri"/>
          <w:i/>
          <w:iCs/>
        </w:rPr>
        <w:t>182</w:t>
      </w:r>
      <w:r w:rsidRPr="00CD42E5">
        <w:rPr>
          <w:rFonts w:eastAsia="Calibri"/>
        </w:rPr>
        <w:t>, 105055.</w:t>
      </w:r>
    </w:p>
    <w:p w14:paraId="421A7916" w14:textId="1470833D" w:rsidR="00CD42E5" w:rsidRPr="00C61E67" w:rsidRDefault="00CD42E5" w:rsidP="00CD42E5">
      <w:pPr>
        <w:spacing w:line="480" w:lineRule="auto"/>
        <w:ind w:left="720" w:hanging="720"/>
        <w:rPr>
          <w:rFonts w:eastAsia="Calibri"/>
        </w:rPr>
      </w:pPr>
      <w:r w:rsidRPr="00CD42E5">
        <w:rPr>
          <w:rFonts w:eastAsia="Calibri"/>
        </w:rPr>
        <w:t xml:space="preserve">Robbins, T., Lim Choi Keung, S. N., </w:t>
      </w:r>
      <w:proofErr w:type="spellStart"/>
      <w:r w:rsidRPr="00CD42E5">
        <w:rPr>
          <w:rFonts w:eastAsia="Calibri"/>
        </w:rPr>
        <w:t>Sankar</w:t>
      </w:r>
      <w:proofErr w:type="spellEnd"/>
      <w:r w:rsidRPr="00CD42E5">
        <w:rPr>
          <w:rFonts w:eastAsia="Calibri"/>
        </w:rPr>
        <w:t xml:space="preserve">, S., </w:t>
      </w:r>
      <w:proofErr w:type="spellStart"/>
      <w:r w:rsidRPr="00CD42E5">
        <w:rPr>
          <w:rFonts w:eastAsia="Calibri"/>
        </w:rPr>
        <w:t>Randeva</w:t>
      </w:r>
      <w:proofErr w:type="spellEnd"/>
      <w:r w:rsidRPr="00CD42E5">
        <w:rPr>
          <w:rFonts w:eastAsia="Calibri"/>
        </w:rPr>
        <w:t xml:space="preserve">, H., &amp; </w:t>
      </w:r>
      <w:proofErr w:type="spellStart"/>
      <w:r w:rsidRPr="00CD42E5">
        <w:rPr>
          <w:rFonts w:eastAsia="Calibri"/>
        </w:rPr>
        <w:t>Arvanitis</w:t>
      </w:r>
      <w:proofErr w:type="spellEnd"/>
      <w:r w:rsidRPr="00CD42E5">
        <w:rPr>
          <w:rFonts w:eastAsia="Calibri"/>
        </w:rPr>
        <w:t>, T. N. (2018). Diabetes and the direct secondary use of electronic health records: Using routinely collected and stored data to drive research and understanding. </w:t>
      </w:r>
      <w:r w:rsidRPr="00CD42E5">
        <w:rPr>
          <w:rFonts w:eastAsia="Calibri"/>
          <w:i/>
          <w:iCs/>
        </w:rPr>
        <w:t>Digital Health</w:t>
      </w:r>
      <w:r w:rsidRPr="00CD42E5">
        <w:rPr>
          <w:rFonts w:eastAsia="Calibri"/>
        </w:rPr>
        <w:t>, </w:t>
      </w:r>
      <w:r w:rsidRPr="00CD42E5">
        <w:rPr>
          <w:rFonts w:eastAsia="Calibri"/>
          <w:i/>
          <w:iCs/>
        </w:rPr>
        <w:t>4</w:t>
      </w:r>
      <w:r w:rsidRPr="00CD42E5">
        <w:rPr>
          <w:rFonts w:eastAsia="Calibri"/>
        </w:rPr>
        <w:t>, 20552076</w:t>
      </w:r>
      <w:bookmarkStart w:id="0" w:name="_GoBack"/>
      <w:bookmarkEnd w:id="0"/>
      <w:r w:rsidRPr="00CD42E5">
        <w:rPr>
          <w:rFonts w:eastAsia="Calibri"/>
        </w:rPr>
        <w:t>18804650.</w:t>
      </w:r>
    </w:p>
    <w:sectPr w:rsidR="00CD42E5" w:rsidRPr="00C61E67"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664F7A" w14:textId="77777777" w:rsidR="00426BCE" w:rsidRDefault="00426BCE">
      <w:pPr>
        <w:spacing w:after="0" w:line="240" w:lineRule="auto"/>
      </w:pPr>
      <w:r>
        <w:separator/>
      </w:r>
    </w:p>
  </w:endnote>
  <w:endnote w:type="continuationSeparator" w:id="0">
    <w:p w14:paraId="5495ACB0" w14:textId="77777777" w:rsidR="00426BCE" w:rsidRDefault="00426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5F1F4E" w14:textId="77777777" w:rsidR="00426BCE" w:rsidRDefault="00426BCE">
      <w:pPr>
        <w:spacing w:after="0" w:line="240" w:lineRule="auto"/>
      </w:pPr>
      <w:r>
        <w:separator/>
      </w:r>
    </w:p>
  </w:footnote>
  <w:footnote w:type="continuationSeparator" w:id="0">
    <w:p w14:paraId="555E8BCB" w14:textId="77777777" w:rsidR="00426BCE" w:rsidRDefault="00426B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035D"/>
    <w:rsid w:val="000A3DCB"/>
    <w:rsid w:val="000B7AE1"/>
    <w:rsid w:val="000C5964"/>
    <w:rsid w:val="000E586C"/>
    <w:rsid w:val="000E660E"/>
    <w:rsid w:val="000F0D68"/>
    <w:rsid w:val="00120FC6"/>
    <w:rsid w:val="00123208"/>
    <w:rsid w:val="00124E96"/>
    <w:rsid w:val="00125E90"/>
    <w:rsid w:val="00127E8D"/>
    <w:rsid w:val="00132D77"/>
    <w:rsid w:val="00134E38"/>
    <w:rsid w:val="001717BF"/>
    <w:rsid w:val="0017580C"/>
    <w:rsid w:val="001922D4"/>
    <w:rsid w:val="00194748"/>
    <w:rsid w:val="001954F1"/>
    <w:rsid w:val="001B4B5C"/>
    <w:rsid w:val="001B78AC"/>
    <w:rsid w:val="001C3356"/>
    <w:rsid w:val="001C494F"/>
    <w:rsid w:val="001C514F"/>
    <w:rsid w:val="001D6D4F"/>
    <w:rsid w:val="001E69BA"/>
    <w:rsid w:val="001E72D2"/>
    <w:rsid w:val="00200448"/>
    <w:rsid w:val="00203102"/>
    <w:rsid w:val="0020471A"/>
    <w:rsid w:val="00204A2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0DF5"/>
    <w:rsid w:val="003A4C4D"/>
    <w:rsid w:val="003B67B6"/>
    <w:rsid w:val="003C0699"/>
    <w:rsid w:val="003E0DF3"/>
    <w:rsid w:val="00400081"/>
    <w:rsid w:val="004011FA"/>
    <w:rsid w:val="0041003C"/>
    <w:rsid w:val="00411C50"/>
    <w:rsid w:val="0042628F"/>
    <w:rsid w:val="00426BCE"/>
    <w:rsid w:val="00430421"/>
    <w:rsid w:val="004443AA"/>
    <w:rsid w:val="00445721"/>
    <w:rsid w:val="004575B8"/>
    <w:rsid w:val="00461393"/>
    <w:rsid w:val="004856FF"/>
    <w:rsid w:val="004A0EC2"/>
    <w:rsid w:val="004F73FC"/>
    <w:rsid w:val="005178DE"/>
    <w:rsid w:val="00517D6B"/>
    <w:rsid w:val="00524E71"/>
    <w:rsid w:val="005262DA"/>
    <w:rsid w:val="0053023C"/>
    <w:rsid w:val="00542539"/>
    <w:rsid w:val="005472A9"/>
    <w:rsid w:val="00562A86"/>
    <w:rsid w:val="0058409C"/>
    <w:rsid w:val="00596F43"/>
    <w:rsid w:val="005C5173"/>
    <w:rsid w:val="005C6DE9"/>
    <w:rsid w:val="005D2B0E"/>
    <w:rsid w:val="005F4C23"/>
    <w:rsid w:val="005F776D"/>
    <w:rsid w:val="005F7CE7"/>
    <w:rsid w:val="00603148"/>
    <w:rsid w:val="0061517F"/>
    <w:rsid w:val="00624AFC"/>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D4196"/>
    <w:rsid w:val="008D5CDA"/>
    <w:rsid w:val="008E0EC4"/>
    <w:rsid w:val="008F4073"/>
    <w:rsid w:val="008F42A8"/>
    <w:rsid w:val="008F49DB"/>
    <w:rsid w:val="008F771A"/>
    <w:rsid w:val="00901608"/>
    <w:rsid w:val="0092266B"/>
    <w:rsid w:val="00922BCF"/>
    <w:rsid w:val="00954BED"/>
    <w:rsid w:val="009649B3"/>
    <w:rsid w:val="00983CF5"/>
    <w:rsid w:val="00986AC9"/>
    <w:rsid w:val="00990F8C"/>
    <w:rsid w:val="009C5022"/>
    <w:rsid w:val="009E5128"/>
    <w:rsid w:val="009F74DC"/>
    <w:rsid w:val="00A021D2"/>
    <w:rsid w:val="00A109A6"/>
    <w:rsid w:val="00A15DAA"/>
    <w:rsid w:val="00A2100D"/>
    <w:rsid w:val="00A21CAB"/>
    <w:rsid w:val="00A23F14"/>
    <w:rsid w:val="00A305D2"/>
    <w:rsid w:val="00A65313"/>
    <w:rsid w:val="00A6674A"/>
    <w:rsid w:val="00A7614D"/>
    <w:rsid w:val="00A7713C"/>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5020"/>
    <w:rsid w:val="00B265C6"/>
    <w:rsid w:val="00B31994"/>
    <w:rsid w:val="00B34385"/>
    <w:rsid w:val="00B3541B"/>
    <w:rsid w:val="00B651CF"/>
    <w:rsid w:val="00BB59BC"/>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D42E5"/>
    <w:rsid w:val="00CE542E"/>
    <w:rsid w:val="00CF1E88"/>
    <w:rsid w:val="00CF3551"/>
    <w:rsid w:val="00D233A9"/>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059A"/>
    <w:rsid w:val="00E46D5E"/>
    <w:rsid w:val="00E65939"/>
    <w:rsid w:val="00E87F68"/>
    <w:rsid w:val="00E906C8"/>
    <w:rsid w:val="00E92F0B"/>
    <w:rsid w:val="00E96A0F"/>
    <w:rsid w:val="00EA6B92"/>
    <w:rsid w:val="00EB45E3"/>
    <w:rsid w:val="00EC2021"/>
    <w:rsid w:val="00EC6032"/>
    <w:rsid w:val="00ED741D"/>
    <w:rsid w:val="00F03B24"/>
    <w:rsid w:val="00F1259D"/>
    <w:rsid w:val="00F1331E"/>
    <w:rsid w:val="00F36C89"/>
    <w:rsid w:val="00F53D5E"/>
    <w:rsid w:val="00F57324"/>
    <w:rsid w:val="00F8558A"/>
    <w:rsid w:val="00F94065"/>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98890-80D6-4983-8E81-E134F4E2B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2020-11-14T01:00:00Z</dcterms:created>
  <dcterms:modified xsi:type="dcterms:W3CDTF">2020-11-14T01:00:00Z</dcterms:modified>
</cp:coreProperties>
</file>