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DE7D8" w14:textId="03541EBE" w:rsidR="007425F2" w:rsidRDefault="007425F2">
      <w:pPr>
        <w:rPr>
          <w:rFonts w:ascii="Times New Roman" w:eastAsia="Times New Roman" w:hAnsi="Times New Roman" w:cs="Times New Roman"/>
          <w:b/>
          <w:sz w:val="40"/>
          <w:szCs w:val="40"/>
        </w:rPr>
      </w:pPr>
    </w:p>
    <w:p w14:paraId="4D2C0742" w14:textId="2D1F5D93" w:rsidR="007425F2" w:rsidRDefault="007425F2">
      <w:pPr>
        <w:rPr>
          <w:rFonts w:ascii="Times New Roman" w:eastAsia="Times New Roman" w:hAnsi="Times New Roman" w:cs="Times New Roman"/>
          <w:b/>
          <w:sz w:val="40"/>
          <w:szCs w:val="40"/>
        </w:rPr>
      </w:pPr>
    </w:p>
    <w:p w14:paraId="48F3B448" w14:textId="020DB76A" w:rsidR="007425F2" w:rsidRPr="007425F2" w:rsidRDefault="007425F2">
      <w:pPr>
        <w:rPr>
          <w:rFonts w:ascii="Times New Roman" w:eastAsia="Times New Roman" w:hAnsi="Times New Roman" w:cs="Times New Roman"/>
          <w:b/>
          <w:sz w:val="40"/>
          <w:szCs w:val="40"/>
          <w:u w:val="single"/>
        </w:rPr>
      </w:pPr>
    </w:p>
    <w:p w14:paraId="756285DB" w14:textId="41099B01" w:rsidR="007425F2" w:rsidRPr="007425F2" w:rsidRDefault="007425F2">
      <w:pPr>
        <w:rPr>
          <w:rFonts w:ascii="Times New Roman" w:eastAsia="Times New Roman" w:hAnsi="Times New Roman" w:cs="Times New Roman"/>
          <w:b/>
          <w:sz w:val="40"/>
          <w:szCs w:val="40"/>
          <w:u w:val="single"/>
        </w:rPr>
      </w:pPr>
      <w:r w:rsidRPr="007425F2">
        <w:rPr>
          <w:rFonts w:ascii="Times New Roman" w:eastAsia="Times New Roman" w:hAnsi="Times New Roman" w:cs="Times New Roman"/>
          <w:b/>
          <w:sz w:val="40"/>
          <w:szCs w:val="40"/>
          <w:u w:val="single"/>
        </w:rPr>
        <w:t>4’-hydroxychalcone, a</w:t>
      </w:r>
      <w:r>
        <w:rPr>
          <w:rFonts w:ascii="Times New Roman" w:eastAsia="Times New Roman" w:hAnsi="Times New Roman" w:cs="Times New Roman"/>
          <w:b/>
          <w:sz w:val="40"/>
          <w:szCs w:val="40"/>
          <w:u w:val="single"/>
        </w:rPr>
        <w:t xml:space="preserve"> possible</w:t>
      </w:r>
      <w:r w:rsidRPr="007425F2">
        <w:rPr>
          <w:rFonts w:ascii="Times New Roman" w:eastAsia="Times New Roman" w:hAnsi="Times New Roman" w:cs="Times New Roman"/>
          <w:b/>
          <w:sz w:val="40"/>
          <w:szCs w:val="40"/>
          <w:u w:val="single"/>
        </w:rPr>
        <w:t xml:space="preserve"> no</w:t>
      </w:r>
      <w:r>
        <w:rPr>
          <w:rFonts w:ascii="Times New Roman" w:eastAsia="Times New Roman" w:hAnsi="Times New Roman" w:cs="Times New Roman"/>
          <w:b/>
          <w:sz w:val="40"/>
          <w:szCs w:val="40"/>
          <w:u w:val="single"/>
        </w:rPr>
        <w:t>vel nicotinic receptor modifier</w:t>
      </w:r>
    </w:p>
    <w:p w14:paraId="170B4658" w14:textId="215ACD98" w:rsidR="007425F2" w:rsidRDefault="007425F2" w:rsidP="007425F2">
      <w:pPr>
        <w:jc w:val="both"/>
        <w:rPr>
          <w:rFonts w:eastAsia="Times New Roman"/>
          <w:b/>
        </w:rPr>
      </w:pPr>
    </w:p>
    <w:p w14:paraId="3424CD21" w14:textId="3186AF99" w:rsidR="007425F2" w:rsidRDefault="007425F2" w:rsidP="007425F2">
      <w:pPr>
        <w:jc w:val="both"/>
        <w:rPr>
          <w:rFonts w:eastAsia="Times New Roman"/>
          <w:b/>
        </w:rPr>
      </w:pPr>
      <w:r>
        <w:rPr>
          <w:rFonts w:eastAsia="Times New Roman"/>
          <w:b/>
        </w:rPr>
        <w:t>I</w:t>
      </w:r>
      <w:r w:rsidRPr="005D67A3">
        <w:rPr>
          <w:rFonts w:eastAsia="Times New Roman"/>
          <w:b/>
        </w:rPr>
        <w:t>ntroduction</w:t>
      </w:r>
      <w:r>
        <w:rPr>
          <w:rFonts w:eastAsia="Times New Roman"/>
          <w:b/>
        </w:rPr>
        <w:t>:</w:t>
      </w:r>
      <w:r w:rsidRPr="005D67A3">
        <w:rPr>
          <w:rFonts w:eastAsia="Times New Roman"/>
          <w:b/>
        </w:rPr>
        <w:t xml:space="preserve"> </w:t>
      </w:r>
    </w:p>
    <w:p w14:paraId="02DE383E" w14:textId="77777777" w:rsidR="007425F2" w:rsidRPr="000C064C" w:rsidRDefault="007425F2" w:rsidP="007425F2">
      <w:pPr>
        <w:jc w:val="both"/>
      </w:pPr>
    </w:p>
    <w:p w14:paraId="2220606B" w14:textId="77777777" w:rsidR="007425F2" w:rsidRPr="007176F8" w:rsidRDefault="007425F2" w:rsidP="007425F2">
      <w:pPr>
        <w:jc w:val="both"/>
      </w:pPr>
      <w:r w:rsidRPr="007176F8">
        <w:t xml:space="preserve">Structure based drug </w:t>
      </w:r>
      <w:r>
        <w:t>design (SBDD) is a promising</w:t>
      </w:r>
      <w:r w:rsidRPr="007176F8">
        <w:t xml:space="preserve"> modern method for d</w:t>
      </w:r>
      <w:r>
        <w:t xml:space="preserve">rug development. SBDD </w:t>
      </w:r>
      <w:proofErr w:type="spellStart"/>
      <w:r>
        <w:t>utilises</w:t>
      </w:r>
      <w:proofErr w:type="spellEnd"/>
      <w:r w:rsidRPr="007176F8">
        <w:t xml:space="preserve"> the information from high-resolutio</w:t>
      </w:r>
      <w:r>
        <w:t>n 3D protein structures to predict</w:t>
      </w:r>
      <w:r w:rsidRPr="007176F8">
        <w:t xml:space="preserve"> structure-</w:t>
      </w:r>
      <w:r>
        <w:t>activity</w:t>
      </w:r>
      <w:r w:rsidRPr="007176F8">
        <w:t xml:space="preserve"> relationship</w:t>
      </w:r>
      <w:r>
        <w:t>s. Further, it is also</w:t>
      </w:r>
      <w:r w:rsidRPr="007176F8">
        <w:t xml:space="preserve"> used for the identification and selection</w:t>
      </w:r>
      <w:r>
        <w:t xml:space="preserve"> of</w:t>
      </w:r>
      <w:r w:rsidRPr="007176F8">
        <w:t xml:space="preserve"> therapeutically relevant targets a</w:t>
      </w:r>
      <w:r>
        <w:t>nd</w:t>
      </w:r>
      <w:r w:rsidRPr="007176F8">
        <w:t xml:space="preserve"> protein</w:t>
      </w:r>
      <w:r>
        <w:t>s</w:t>
      </w:r>
      <w:r w:rsidRPr="007176F8">
        <w:t>. Other</w:t>
      </w:r>
      <w:r>
        <w:t xml:space="preserve"> functions of SBDD</w:t>
      </w:r>
      <w:r w:rsidRPr="007176F8">
        <w:t xml:space="preserve"> include characterization of binding pocket</w:t>
      </w:r>
      <w:r>
        <w:t>s</w:t>
      </w:r>
      <w:r w:rsidRPr="007176F8">
        <w:t>, development of target specific compound libraries and optimization of lead compound</w:t>
      </w:r>
      <w:r>
        <w:t>s</w:t>
      </w:r>
      <w:r w:rsidRPr="007176F8">
        <w:t>. SBDD is one of the most powerful</w:t>
      </w:r>
      <w:r>
        <w:t xml:space="preserve"> emerging</w:t>
      </w:r>
      <w:r w:rsidRPr="007176F8">
        <w:t xml:space="preserve"> tools</w:t>
      </w:r>
      <w:r>
        <w:t xml:space="preserve"> because of the high</w:t>
      </w:r>
      <w:r w:rsidRPr="007176F8">
        <w:t xml:space="preserve"> speed and low cost during drug design and development process</w:t>
      </w:r>
      <w:r>
        <w:t>es</w:t>
      </w:r>
      <w:r w:rsidRPr="007176F8">
        <w:t xml:space="preserve"> </w:t>
      </w:r>
      <w:r w:rsidRPr="005D67A3">
        <w:rPr>
          <w:vertAlign w:val="superscript"/>
        </w:rPr>
        <w:t>[1]</w:t>
      </w:r>
      <w:r w:rsidRPr="007176F8">
        <w:t>. Furthermor</w:t>
      </w:r>
      <w:r>
        <w:t>e, SBDD can also utilize data from Protein Data Bank (PDB) which</w:t>
      </w:r>
      <w:r w:rsidRPr="007176F8">
        <w:t xml:space="preserve"> is an online library</w:t>
      </w:r>
      <w:r>
        <w:t xml:space="preserve"> containing the information of more than 130000</w:t>
      </w:r>
      <w:r w:rsidRPr="007176F8">
        <w:t xml:space="preserve"> biological </w:t>
      </w:r>
      <w:r>
        <w:t>structures</w:t>
      </w:r>
      <w:r w:rsidRPr="007176F8">
        <w:t xml:space="preserve"> includ</w:t>
      </w:r>
      <w:r>
        <w:t>ing 3D structures. This library wa</w:t>
      </w:r>
      <w:r w:rsidRPr="007176F8">
        <w:t>s used as</w:t>
      </w:r>
      <w:r>
        <w:t xml:space="preserve"> a</w:t>
      </w:r>
      <w:r w:rsidRPr="007176F8">
        <w:t xml:space="preserve"> </w:t>
      </w:r>
      <w:r>
        <w:t>database for this experiment with both</w:t>
      </w:r>
      <w:r w:rsidRPr="007176F8">
        <w:t xml:space="preserve"> imported template protein and</w:t>
      </w:r>
      <w:r>
        <w:t xml:space="preserve"> the library for compound</w:t>
      </w:r>
      <w:r w:rsidRPr="007176F8">
        <w:t xml:space="preserve"> scanning</w:t>
      </w:r>
      <w:r>
        <w:t xml:space="preserve"> coming from PDB</w:t>
      </w:r>
      <w:r w:rsidRPr="007176F8">
        <w:t xml:space="preserve"> </w:t>
      </w:r>
      <w:r w:rsidRPr="005D67A3">
        <w:rPr>
          <w:vertAlign w:val="superscript"/>
        </w:rPr>
        <w:t>[2]</w:t>
      </w:r>
      <w:r w:rsidRPr="007176F8">
        <w:t>.</w:t>
      </w:r>
      <w:r>
        <w:t xml:space="preserve"> This series of experiments were</w:t>
      </w:r>
      <w:r w:rsidRPr="007176F8">
        <w:t xml:space="preserve"> conducted with</w:t>
      </w:r>
      <w:r>
        <w:t xml:space="preserve"> the aim to develop a receptor that contained</w:t>
      </w:r>
      <w:r w:rsidRPr="007176F8">
        <w:t xml:space="preserve"> (α4)</w:t>
      </w:r>
      <w:r w:rsidRPr="005D67A3">
        <w:rPr>
          <w:vertAlign w:val="subscript"/>
        </w:rPr>
        <w:t>3</w:t>
      </w:r>
      <w:r>
        <w:t>(</w:t>
      </w:r>
      <w:r w:rsidRPr="007176F8">
        <w:t>β2)</w:t>
      </w:r>
      <w:r w:rsidRPr="005D67A3">
        <w:rPr>
          <w:vertAlign w:val="subscript"/>
        </w:rPr>
        <w:t>2</w:t>
      </w:r>
      <w:r w:rsidRPr="007176F8">
        <w:t xml:space="preserve"> stoichiometry from the imp</w:t>
      </w:r>
      <w:r>
        <w:t>orted α</w:t>
      </w:r>
      <w:r w:rsidRPr="005D67A3">
        <w:rPr>
          <w:vertAlign w:val="subscript"/>
        </w:rPr>
        <w:t>4</w:t>
      </w:r>
      <w:r>
        <w:t>β</w:t>
      </w:r>
      <w:r w:rsidRPr="005D67A3">
        <w:rPr>
          <w:vertAlign w:val="subscript"/>
        </w:rPr>
        <w:t>2</w:t>
      </w:r>
      <w:r>
        <w:t xml:space="preserve"> </w:t>
      </w:r>
      <w:proofErr w:type="spellStart"/>
      <w:r>
        <w:t>nAChR</w:t>
      </w:r>
      <w:proofErr w:type="spellEnd"/>
      <w:r>
        <w:t xml:space="preserve"> structure</w:t>
      </w:r>
      <w:r w:rsidRPr="007176F8">
        <w:t xml:space="preserve">. The receptor </w:t>
      </w:r>
      <w:r>
        <w:t>was then</w:t>
      </w:r>
      <w:r w:rsidRPr="007176F8">
        <w:t xml:space="preserve"> dock</w:t>
      </w:r>
      <w:r>
        <w:t>ed with</w:t>
      </w:r>
      <w:r w:rsidRPr="007176F8">
        <w:t xml:space="preserve"> a ligand library</w:t>
      </w:r>
      <w:r>
        <w:t xml:space="preserve"> tested at</w:t>
      </w:r>
      <w:r w:rsidRPr="007176F8">
        <w:t xml:space="preserve"> the α</w:t>
      </w:r>
      <w:r w:rsidRPr="005D67A3">
        <w:rPr>
          <w:vertAlign w:val="subscript"/>
        </w:rPr>
        <w:t>4</w:t>
      </w:r>
      <w:r w:rsidRPr="007176F8">
        <w:t>α</w:t>
      </w:r>
      <w:r w:rsidRPr="005D67A3">
        <w:rPr>
          <w:vertAlign w:val="subscript"/>
        </w:rPr>
        <w:t>4</w:t>
      </w:r>
      <w:r w:rsidRPr="007176F8">
        <w:t xml:space="preserve"> interfac</w:t>
      </w:r>
      <w:r>
        <w:t>e of an α</w:t>
      </w:r>
      <w:r w:rsidRPr="005D67A3">
        <w:rPr>
          <w:vertAlign w:val="subscript"/>
        </w:rPr>
        <w:t>4</w:t>
      </w:r>
      <w:r>
        <w:t>β</w:t>
      </w:r>
      <w:r w:rsidRPr="005D67A3">
        <w:rPr>
          <w:vertAlign w:val="subscript"/>
        </w:rPr>
        <w:t>2</w:t>
      </w:r>
      <w:r>
        <w:t xml:space="preserve"> </w:t>
      </w:r>
      <w:proofErr w:type="spellStart"/>
      <w:r>
        <w:t>nAChR</w:t>
      </w:r>
      <w:proofErr w:type="spellEnd"/>
      <w:r>
        <w:t xml:space="preserve"> model, then a hit</w:t>
      </w:r>
      <w:r w:rsidRPr="007176F8">
        <w:t xml:space="preserve"> compound</w:t>
      </w:r>
      <w:r>
        <w:t xml:space="preserve"> would be chosen</w:t>
      </w:r>
      <w:r w:rsidRPr="007176F8">
        <w:t xml:space="preserve"> for furt</w:t>
      </w:r>
      <w:r>
        <w:t>her optimization and evaluated</w:t>
      </w:r>
      <w:r w:rsidRPr="007176F8">
        <w:t xml:space="preserve"> as a potential drug molecule.</w:t>
      </w:r>
    </w:p>
    <w:p w14:paraId="4F1F9DB3" w14:textId="77777777" w:rsidR="007425F2" w:rsidRDefault="007425F2" w:rsidP="007425F2">
      <w:pPr>
        <w:pStyle w:val="ListParagraph"/>
        <w:jc w:val="both"/>
        <w:rPr>
          <w:rFonts w:eastAsia="Times New Roman"/>
          <w:b/>
        </w:rPr>
      </w:pPr>
    </w:p>
    <w:p w14:paraId="0AF1A8AF" w14:textId="77777777" w:rsidR="007425F2" w:rsidRPr="005D67A3" w:rsidRDefault="007425F2" w:rsidP="007425F2">
      <w:pPr>
        <w:jc w:val="both"/>
        <w:rPr>
          <w:rFonts w:eastAsia="Times New Roman"/>
          <w:b/>
        </w:rPr>
      </w:pPr>
      <w:r w:rsidRPr="005D67A3">
        <w:rPr>
          <w:rFonts w:eastAsia="Times New Roman"/>
          <w:b/>
        </w:rPr>
        <w:t>Methods:</w:t>
      </w:r>
    </w:p>
    <w:p w14:paraId="73E0EE14" w14:textId="77777777" w:rsidR="007425F2" w:rsidRPr="005D67A3" w:rsidRDefault="007425F2" w:rsidP="007425F2">
      <w:pPr>
        <w:rPr>
          <w:rFonts w:eastAsia="Times New Roman"/>
          <w:b/>
          <w:color w:val="000000" w:themeColor="text1"/>
        </w:rPr>
      </w:pPr>
      <w:r w:rsidRPr="005D67A3">
        <w:rPr>
          <w:rFonts w:eastAsia="Times New Roman"/>
          <w:color w:val="000000" w:themeColor="text1"/>
        </w:rPr>
        <w:t xml:space="preserve">To mimic the process of designing a novel drug based on our understanding of a biological target, the software Maestro was utilized. </w:t>
      </w:r>
      <w:r w:rsidRPr="005D67A3">
        <w:rPr>
          <w:rFonts w:eastAsia="Times New Roman"/>
          <w:color w:val="000000" w:themeColor="text1"/>
        </w:rPr>
        <w:br/>
      </w:r>
    </w:p>
    <w:p w14:paraId="171A716D" w14:textId="77777777" w:rsidR="007425F2" w:rsidRPr="00081B05" w:rsidRDefault="007425F2" w:rsidP="007425F2">
      <w:pPr>
        <w:jc w:val="both"/>
        <w:rPr>
          <w:b/>
          <w:color w:val="000000" w:themeColor="text1"/>
        </w:rPr>
      </w:pPr>
      <w:r w:rsidRPr="00081B05">
        <w:rPr>
          <w:rFonts w:eastAsia="Times New Roman"/>
          <w:b/>
          <w:color w:val="000000" w:themeColor="text1"/>
        </w:rPr>
        <w:br/>
        <w:t xml:space="preserve">Target Identification </w:t>
      </w:r>
      <w:r w:rsidRPr="00081B05">
        <w:rPr>
          <w:b/>
          <w:color w:val="000000" w:themeColor="text1"/>
        </w:rPr>
        <w:t>and ligand preparation workflow</w:t>
      </w:r>
    </w:p>
    <w:p w14:paraId="6C7E1552" w14:textId="77777777" w:rsidR="007425F2" w:rsidRPr="005D67A3" w:rsidRDefault="007425F2" w:rsidP="007425F2">
      <w:pPr>
        <w:jc w:val="both"/>
        <w:rPr>
          <w:b/>
          <w:color w:val="000000" w:themeColor="text1"/>
        </w:rPr>
      </w:pPr>
      <w:r w:rsidRPr="005D67A3">
        <w:rPr>
          <w:color w:val="000000" w:themeColor="text1"/>
        </w:rPr>
        <w:t>Three reference compounds were constructed; NS9283, (S)-nicotine, and (-) -(1R, 2R, 4S) –</w:t>
      </w:r>
      <w:proofErr w:type="spellStart"/>
      <w:r w:rsidRPr="005D67A3">
        <w:rPr>
          <w:color w:val="000000" w:themeColor="text1"/>
        </w:rPr>
        <w:t>epibatedine</w:t>
      </w:r>
      <w:proofErr w:type="spellEnd"/>
      <w:r w:rsidRPr="005D67A3">
        <w:rPr>
          <w:color w:val="000000" w:themeColor="text1"/>
        </w:rPr>
        <w:t xml:space="preserve"> (shown in figure 1) and docked at the previously constructed allosteric site consisting of an </w:t>
      </w:r>
      <w:r w:rsidRPr="005D67A3">
        <w:rPr>
          <w:rFonts w:eastAsia="Times New Roman"/>
          <w:color w:val="000000" w:themeColor="text1"/>
        </w:rPr>
        <w:t>α</w:t>
      </w:r>
      <w:r w:rsidRPr="005D67A3">
        <w:rPr>
          <w:rFonts w:eastAsia="Times New Roman"/>
          <w:color w:val="000000" w:themeColor="text1"/>
          <w:vertAlign w:val="subscript"/>
        </w:rPr>
        <w:t>4</w:t>
      </w:r>
      <w:r w:rsidRPr="005D67A3">
        <w:rPr>
          <w:rFonts w:eastAsia="Times New Roman"/>
          <w:color w:val="000000" w:themeColor="text1"/>
        </w:rPr>
        <w:t>α</w:t>
      </w:r>
      <w:r w:rsidRPr="005D67A3">
        <w:rPr>
          <w:rFonts w:eastAsia="Times New Roman"/>
          <w:color w:val="000000" w:themeColor="text1"/>
          <w:vertAlign w:val="subscript"/>
        </w:rPr>
        <w:t>4</w:t>
      </w:r>
      <w:r w:rsidRPr="005D67A3">
        <w:rPr>
          <w:rFonts w:eastAsia="Times New Roman"/>
          <w:color w:val="000000" w:themeColor="text1"/>
        </w:rPr>
        <w:t xml:space="preserve"> interface.</w:t>
      </w:r>
    </w:p>
    <w:p w14:paraId="3C04E9DE" w14:textId="77777777" w:rsidR="007425F2" w:rsidRPr="00081B05" w:rsidRDefault="007425F2" w:rsidP="007425F2">
      <w:pPr>
        <w:pStyle w:val="ListParagraph"/>
        <w:ind w:left="1494"/>
        <w:jc w:val="both"/>
        <w:rPr>
          <w:rFonts w:eastAsia="Times New Roman"/>
          <w:color w:val="000000" w:themeColor="text1"/>
        </w:rPr>
      </w:pPr>
    </w:p>
    <w:p w14:paraId="238CC5E3" w14:textId="77777777" w:rsidR="007425F2" w:rsidRPr="00081B05" w:rsidRDefault="007425F2" w:rsidP="007425F2">
      <w:pPr>
        <w:widowControl w:val="0"/>
        <w:autoSpaceDE w:val="0"/>
        <w:autoSpaceDN w:val="0"/>
        <w:adjustRightInd w:val="0"/>
        <w:jc w:val="both"/>
        <w:rPr>
          <w:color w:val="000000" w:themeColor="text1"/>
        </w:rPr>
      </w:pPr>
      <w:r w:rsidRPr="00081B05">
        <w:rPr>
          <w:noProof/>
          <w:color w:val="000000" w:themeColor="text1"/>
        </w:rPr>
        <w:drawing>
          <wp:anchor distT="0" distB="0" distL="114300" distR="114300" simplePos="0" relativeHeight="251659264" behindDoc="0" locked="0" layoutInCell="1" allowOverlap="1" wp14:anchorId="1EC08530" wp14:editId="5AC25289">
            <wp:simplePos x="0" y="0"/>
            <wp:positionH relativeFrom="margin">
              <wp:align>center</wp:align>
            </wp:positionH>
            <wp:positionV relativeFrom="paragraph">
              <wp:posOffset>6985</wp:posOffset>
            </wp:positionV>
            <wp:extent cx="4279900" cy="1464945"/>
            <wp:effectExtent l="0" t="0" r="6350" b="1905"/>
            <wp:wrapTight wrapText="bothSides">
              <wp:wrapPolygon edited="0">
                <wp:start x="0" y="0"/>
                <wp:lineTo x="0" y="21347"/>
                <wp:lineTo x="21536" y="21347"/>
                <wp:lineTo x="2153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79900" cy="1464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81B05">
        <w:rPr>
          <w:color w:val="000000" w:themeColor="text1"/>
        </w:rPr>
        <w:t xml:space="preserve"> </w:t>
      </w:r>
    </w:p>
    <w:p w14:paraId="6A905FF1" w14:textId="77777777" w:rsidR="007425F2" w:rsidRPr="00081B05" w:rsidRDefault="007425F2" w:rsidP="007425F2">
      <w:pPr>
        <w:pStyle w:val="ListParagraph"/>
        <w:ind w:left="1494"/>
        <w:jc w:val="both"/>
        <w:rPr>
          <w:rFonts w:eastAsia="Times New Roman"/>
          <w:color w:val="000000" w:themeColor="text1"/>
        </w:rPr>
      </w:pPr>
    </w:p>
    <w:p w14:paraId="3FBD8F85" w14:textId="77777777" w:rsidR="007425F2" w:rsidRPr="00081B05" w:rsidRDefault="007425F2" w:rsidP="007425F2">
      <w:pPr>
        <w:pStyle w:val="ListParagraph"/>
        <w:ind w:left="1494"/>
        <w:jc w:val="both"/>
        <w:rPr>
          <w:rFonts w:eastAsia="Times New Roman"/>
          <w:color w:val="000000" w:themeColor="text1"/>
        </w:rPr>
      </w:pPr>
    </w:p>
    <w:p w14:paraId="6637BB87" w14:textId="77777777" w:rsidR="007425F2" w:rsidRPr="00081B05" w:rsidRDefault="007425F2" w:rsidP="007425F2">
      <w:pPr>
        <w:pStyle w:val="ListParagraph"/>
        <w:ind w:left="1494"/>
        <w:jc w:val="both"/>
        <w:rPr>
          <w:rFonts w:eastAsia="Times New Roman"/>
          <w:color w:val="000000" w:themeColor="text1"/>
        </w:rPr>
      </w:pPr>
    </w:p>
    <w:p w14:paraId="03221E8F" w14:textId="77777777" w:rsidR="007425F2" w:rsidRPr="00081B05" w:rsidRDefault="007425F2" w:rsidP="007425F2">
      <w:pPr>
        <w:pStyle w:val="ListParagraph"/>
        <w:ind w:left="1494"/>
        <w:jc w:val="both"/>
        <w:rPr>
          <w:rFonts w:eastAsia="Times New Roman"/>
          <w:color w:val="000000" w:themeColor="text1"/>
        </w:rPr>
      </w:pPr>
    </w:p>
    <w:p w14:paraId="4EFB18BC" w14:textId="77777777" w:rsidR="007425F2" w:rsidRPr="00081B05" w:rsidRDefault="007425F2" w:rsidP="007425F2">
      <w:pPr>
        <w:pStyle w:val="ListParagraph"/>
        <w:ind w:left="1494"/>
        <w:jc w:val="both"/>
        <w:rPr>
          <w:rFonts w:eastAsia="Times New Roman"/>
          <w:color w:val="000000" w:themeColor="text1"/>
        </w:rPr>
      </w:pPr>
    </w:p>
    <w:p w14:paraId="11F0B467" w14:textId="77777777" w:rsidR="007425F2" w:rsidRPr="00081B05" w:rsidRDefault="007425F2" w:rsidP="007425F2">
      <w:pPr>
        <w:pStyle w:val="ListParagraph"/>
        <w:ind w:left="1494"/>
        <w:jc w:val="both"/>
        <w:rPr>
          <w:rFonts w:eastAsia="Times New Roman"/>
          <w:color w:val="000000" w:themeColor="text1"/>
        </w:rPr>
      </w:pPr>
    </w:p>
    <w:p w14:paraId="5A457E33" w14:textId="77777777" w:rsidR="007425F2" w:rsidRPr="00081B05" w:rsidRDefault="007425F2" w:rsidP="007425F2">
      <w:pPr>
        <w:pStyle w:val="ListParagraph"/>
        <w:ind w:left="1494"/>
        <w:jc w:val="both"/>
        <w:rPr>
          <w:rFonts w:eastAsia="Times New Roman"/>
          <w:color w:val="000000" w:themeColor="text1"/>
        </w:rPr>
      </w:pPr>
    </w:p>
    <w:p w14:paraId="37075FDE" w14:textId="77777777" w:rsidR="007425F2" w:rsidRPr="00081B05" w:rsidRDefault="007425F2" w:rsidP="007425F2">
      <w:pPr>
        <w:pStyle w:val="ListParagraph"/>
        <w:ind w:left="1494"/>
        <w:jc w:val="both"/>
        <w:rPr>
          <w:rFonts w:eastAsia="Times New Roman"/>
          <w:color w:val="000000" w:themeColor="text1"/>
        </w:rPr>
      </w:pPr>
    </w:p>
    <w:p w14:paraId="30F58C5C" w14:textId="77777777" w:rsidR="007425F2" w:rsidRPr="005D67A3" w:rsidRDefault="007425F2" w:rsidP="007425F2">
      <w:pPr>
        <w:jc w:val="both"/>
        <w:rPr>
          <w:rFonts w:eastAsia="Times New Roman"/>
          <w:b/>
          <w:color w:val="000000" w:themeColor="text1"/>
        </w:rPr>
      </w:pPr>
      <w:r w:rsidRPr="005D67A3">
        <w:rPr>
          <w:rFonts w:eastAsia="Times New Roman"/>
          <w:b/>
          <w:color w:val="000000" w:themeColor="text1"/>
        </w:rPr>
        <w:lastRenderedPageBreak/>
        <w:t xml:space="preserve">Figure 1. </w:t>
      </w:r>
      <w:r w:rsidRPr="005D67A3">
        <w:rPr>
          <w:rFonts w:eastAsia="Times New Roman"/>
          <w:color w:val="000000" w:themeColor="text1"/>
        </w:rPr>
        <w:t xml:space="preserve">Chemical structure of </w:t>
      </w:r>
      <w:r w:rsidRPr="005D67A3">
        <w:rPr>
          <w:color w:val="000000" w:themeColor="text1"/>
        </w:rPr>
        <w:t>NS9283, (S)-nicotine, and (-) -(1R, 2R, 4S) – epibatidine as neutral species.</w:t>
      </w:r>
    </w:p>
    <w:p w14:paraId="57166E8D" w14:textId="77777777" w:rsidR="007425F2" w:rsidRPr="00081B05" w:rsidRDefault="007425F2" w:rsidP="007425F2">
      <w:pPr>
        <w:pStyle w:val="ListParagraph"/>
        <w:ind w:left="1494"/>
        <w:jc w:val="both"/>
        <w:rPr>
          <w:rFonts w:eastAsia="Times New Roman"/>
          <w:color w:val="000000" w:themeColor="text1"/>
        </w:rPr>
      </w:pPr>
    </w:p>
    <w:p w14:paraId="0519B1DE" w14:textId="288C53B3" w:rsidR="007425F2" w:rsidRPr="005D67A3" w:rsidRDefault="007425F2" w:rsidP="007425F2">
      <w:pPr>
        <w:rPr>
          <w:b/>
          <w:color w:val="000000" w:themeColor="text1"/>
        </w:rPr>
      </w:pPr>
      <w:r w:rsidRPr="005D67A3">
        <w:rPr>
          <w:color w:val="000000" w:themeColor="text1"/>
        </w:rPr>
        <w:t xml:space="preserve">These structures were then prepared using </w:t>
      </w:r>
      <w:proofErr w:type="spellStart"/>
      <w:r w:rsidRPr="005D67A3">
        <w:rPr>
          <w:color w:val="000000" w:themeColor="text1"/>
        </w:rPr>
        <w:t>LigPrep</w:t>
      </w:r>
      <w:proofErr w:type="spellEnd"/>
      <w:r w:rsidRPr="005D67A3">
        <w:rPr>
          <w:color w:val="000000" w:themeColor="text1"/>
        </w:rPr>
        <w:t xml:space="preserve"> (Maestro) to trans</w:t>
      </w:r>
      <w:r>
        <w:rPr>
          <w:color w:val="000000" w:themeColor="text1"/>
        </w:rPr>
        <w:t xml:space="preserve">form them into the form they </w:t>
      </w:r>
      <w:r w:rsidRPr="005D67A3">
        <w:rPr>
          <w:color w:val="000000" w:themeColor="text1"/>
        </w:rPr>
        <w:t xml:space="preserve">would appear at physiological </w:t>
      </w:r>
      <w:proofErr w:type="spellStart"/>
      <w:r w:rsidRPr="005D67A3">
        <w:rPr>
          <w:color w:val="000000" w:themeColor="text1"/>
        </w:rPr>
        <w:t>pH.</w:t>
      </w:r>
      <w:proofErr w:type="spellEnd"/>
      <w:r w:rsidRPr="005D67A3">
        <w:rPr>
          <w:color w:val="000000" w:themeColor="text1"/>
        </w:rPr>
        <w:br/>
      </w:r>
    </w:p>
    <w:p w14:paraId="45C932B1" w14:textId="77777777" w:rsidR="007425F2" w:rsidRDefault="007425F2" w:rsidP="007425F2">
      <w:pPr>
        <w:jc w:val="both"/>
        <w:rPr>
          <w:b/>
          <w:color w:val="000000" w:themeColor="text1"/>
        </w:rPr>
      </w:pPr>
      <w:r w:rsidRPr="00081B05">
        <w:rPr>
          <w:b/>
          <w:color w:val="000000" w:themeColor="text1"/>
        </w:rPr>
        <w:t>Grid Generation and Ligand Docking</w:t>
      </w:r>
    </w:p>
    <w:p w14:paraId="52AA8E1C" w14:textId="77777777" w:rsidR="007425F2" w:rsidRPr="00081B05" w:rsidRDefault="007425F2" w:rsidP="007425F2">
      <w:pPr>
        <w:jc w:val="both"/>
        <w:rPr>
          <w:b/>
          <w:color w:val="000000" w:themeColor="text1"/>
        </w:rPr>
      </w:pPr>
    </w:p>
    <w:p w14:paraId="741AB1E5" w14:textId="77777777" w:rsidR="007425F2" w:rsidRDefault="007425F2" w:rsidP="007425F2">
      <w:pPr>
        <w:widowControl w:val="0"/>
        <w:autoSpaceDE w:val="0"/>
        <w:autoSpaceDN w:val="0"/>
        <w:adjustRightInd w:val="0"/>
        <w:spacing w:after="240"/>
        <w:jc w:val="both"/>
        <w:rPr>
          <w:color w:val="000000" w:themeColor="text1"/>
        </w:rPr>
      </w:pPr>
      <w:r w:rsidRPr="005D67A3">
        <w:rPr>
          <w:color w:val="000000" w:themeColor="text1"/>
        </w:rPr>
        <w:t xml:space="preserve">A grid was then generated around the allosteric binding site in order to insert the ligands from the docking library. </w:t>
      </w:r>
    </w:p>
    <w:p w14:paraId="3F278358" w14:textId="77777777" w:rsidR="007425F2" w:rsidRPr="005D67A3" w:rsidRDefault="007425F2" w:rsidP="007425F2">
      <w:pPr>
        <w:widowControl w:val="0"/>
        <w:autoSpaceDE w:val="0"/>
        <w:autoSpaceDN w:val="0"/>
        <w:adjustRightInd w:val="0"/>
        <w:spacing w:after="240"/>
        <w:jc w:val="both"/>
        <w:rPr>
          <w:color w:val="000000" w:themeColor="text1"/>
        </w:rPr>
      </w:pPr>
    </w:p>
    <w:p w14:paraId="69E6A933" w14:textId="77777777" w:rsidR="007425F2" w:rsidRPr="00081B05" w:rsidRDefault="007425F2" w:rsidP="007425F2">
      <w:pPr>
        <w:widowControl w:val="0"/>
        <w:autoSpaceDE w:val="0"/>
        <w:autoSpaceDN w:val="0"/>
        <w:adjustRightInd w:val="0"/>
        <w:spacing w:after="240"/>
        <w:jc w:val="both"/>
        <w:rPr>
          <w:b/>
          <w:color w:val="000000" w:themeColor="text1"/>
        </w:rPr>
      </w:pPr>
      <w:r w:rsidRPr="00081B05">
        <w:rPr>
          <w:b/>
          <w:color w:val="000000" w:themeColor="text1"/>
        </w:rPr>
        <w:t>Database screening</w:t>
      </w:r>
    </w:p>
    <w:p w14:paraId="50F5E863" w14:textId="77777777" w:rsidR="007425F2" w:rsidRPr="005D67A3" w:rsidRDefault="007425F2" w:rsidP="007425F2">
      <w:pPr>
        <w:widowControl w:val="0"/>
        <w:autoSpaceDE w:val="0"/>
        <w:autoSpaceDN w:val="0"/>
        <w:adjustRightInd w:val="0"/>
        <w:spacing w:after="240"/>
        <w:jc w:val="both"/>
        <w:rPr>
          <w:color w:val="000000" w:themeColor="text1"/>
        </w:rPr>
      </w:pPr>
      <w:r w:rsidRPr="005D67A3">
        <w:rPr>
          <w:color w:val="000000" w:themeColor="text1"/>
        </w:rPr>
        <w:t>The lead compound with the highest docking score was selected by screening prepared structures imported from library 5 and docked as described above.</w:t>
      </w:r>
    </w:p>
    <w:p w14:paraId="04E0F629" w14:textId="77777777" w:rsidR="007425F2" w:rsidRPr="005D67A3" w:rsidRDefault="007425F2" w:rsidP="007425F2">
      <w:pPr>
        <w:widowControl w:val="0"/>
        <w:autoSpaceDE w:val="0"/>
        <w:autoSpaceDN w:val="0"/>
        <w:adjustRightInd w:val="0"/>
        <w:spacing w:after="240"/>
        <w:jc w:val="both"/>
        <w:rPr>
          <w:color w:val="000000" w:themeColor="text1"/>
        </w:rPr>
      </w:pPr>
      <w:r w:rsidRPr="005D67A3">
        <w:rPr>
          <w:color w:val="000000" w:themeColor="text1"/>
        </w:rPr>
        <w:t>A lead compound was selected based on the highest docking score, molecular weight, Lipinski’s rule of five and noncovalent interactions.</w:t>
      </w:r>
    </w:p>
    <w:p w14:paraId="45502E5A" w14:textId="77777777" w:rsidR="007425F2" w:rsidRPr="005D67A3" w:rsidRDefault="007425F2" w:rsidP="007425F2">
      <w:pPr>
        <w:widowControl w:val="0"/>
        <w:autoSpaceDE w:val="0"/>
        <w:autoSpaceDN w:val="0"/>
        <w:adjustRightInd w:val="0"/>
        <w:spacing w:after="240"/>
        <w:jc w:val="both"/>
        <w:rPr>
          <w:b/>
          <w:color w:val="000000" w:themeColor="text1"/>
        </w:rPr>
      </w:pPr>
      <w:proofErr w:type="spellStart"/>
      <w:r w:rsidRPr="005D67A3">
        <w:rPr>
          <w:b/>
          <w:color w:val="000000" w:themeColor="text1"/>
        </w:rPr>
        <w:t>Optimisation</w:t>
      </w:r>
      <w:proofErr w:type="spellEnd"/>
      <w:r w:rsidRPr="005D67A3">
        <w:rPr>
          <w:b/>
          <w:color w:val="000000" w:themeColor="text1"/>
        </w:rPr>
        <w:t xml:space="preserve"> of lead compound</w:t>
      </w:r>
    </w:p>
    <w:p w14:paraId="300F1A06" w14:textId="77777777" w:rsidR="007425F2" w:rsidRPr="005D67A3" w:rsidRDefault="007425F2" w:rsidP="007425F2">
      <w:pPr>
        <w:widowControl w:val="0"/>
        <w:autoSpaceDE w:val="0"/>
        <w:autoSpaceDN w:val="0"/>
        <w:adjustRightInd w:val="0"/>
        <w:spacing w:after="240"/>
        <w:jc w:val="both"/>
        <w:rPr>
          <w:color w:val="000000" w:themeColor="text1"/>
        </w:rPr>
      </w:pPr>
      <w:r w:rsidRPr="005D67A3">
        <w:rPr>
          <w:color w:val="000000" w:themeColor="text1"/>
        </w:rPr>
        <w:t>Receptor binding site characterization and identification of hydrogen bond acceptor/donor as well as hydrophobic region was performer using Sitemap tools (Maestro).</w:t>
      </w:r>
    </w:p>
    <w:p w14:paraId="4E661E2A" w14:textId="77777777" w:rsidR="007425F2" w:rsidRPr="005D67A3" w:rsidRDefault="007425F2" w:rsidP="007425F2">
      <w:pPr>
        <w:widowControl w:val="0"/>
        <w:autoSpaceDE w:val="0"/>
        <w:autoSpaceDN w:val="0"/>
        <w:adjustRightInd w:val="0"/>
        <w:spacing w:after="240"/>
        <w:jc w:val="both"/>
        <w:rPr>
          <w:color w:val="000000" w:themeColor="text1"/>
        </w:rPr>
      </w:pPr>
      <w:r w:rsidRPr="005D67A3">
        <w:rPr>
          <w:color w:val="000000" w:themeColor="text1"/>
        </w:rPr>
        <w:t>Addition of new relevant functional groups were made and the lead compound was selected based on the greatest improvement of docking score as well as conforming to Lipinski’s rule of five.</w:t>
      </w:r>
    </w:p>
    <w:p w14:paraId="3E9FFDC3" w14:textId="77777777" w:rsidR="007425F2" w:rsidRPr="00823A9C" w:rsidRDefault="007425F2" w:rsidP="007425F2">
      <w:pPr>
        <w:jc w:val="both"/>
        <w:rPr>
          <w:rFonts w:eastAsia="Times New Roman"/>
          <w:b/>
        </w:rPr>
      </w:pPr>
      <w:r w:rsidRPr="00823A9C">
        <w:rPr>
          <w:rFonts w:eastAsia="Times New Roman"/>
          <w:b/>
        </w:rPr>
        <w:t>R</w:t>
      </w:r>
      <w:r>
        <w:rPr>
          <w:rFonts w:eastAsia="Times New Roman"/>
          <w:b/>
        </w:rPr>
        <w:t>esults</w:t>
      </w:r>
    </w:p>
    <w:p w14:paraId="1AD6E6C7" w14:textId="77777777" w:rsidR="007425F2" w:rsidRPr="009510D7" w:rsidRDefault="007425F2" w:rsidP="007425F2">
      <w:pPr>
        <w:pStyle w:val="ListParagraph"/>
        <w:ind w:left="360"/>
        <w:jc w:val="both"/>
        <w:rPr>
          <w:b/>
        </w:rPr>
      </w:pPr>
      <w:r>
        <w:rPr>
          <w:noProof/>
        </w:rPr>
        <w:drawing>
          <wp:inline distT="0" distB="0" distL="0" distR="0" wp14:anchorId="6BE53246" wp14:editId="52C6A5D5">
            <wp:extent cx="4986655" cy="893445"/>
            <wp:effectExtent l="0" t="0" r="444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86655" cy="893445"/>
                    </a:xfrm>
                    <a:prstGeom prst="rect">
                      <a:avLst/>
                    </a:prstGeom>
                    <a:noFill/>
                    <a:ln>
                      <a:noFill/>
                    </a:ln>
                  </pic:spPr>
                </pic:pic>
              </a:graphicData>
            </a:graphic>
          </wp:inline>
        </w:drawing>
      </w:r>
    </w:p>
    <w:p w14:paraId="416017F7" w14:textId="77777777" w:rsidR="007425F2" w:rsidRDefault="007425F2" w:rsidP="007425F2">
      <w:pPr>
        <w:jc w:val="both"/>
      </w:pPr>
      <w:r w:rsidRPr="00823A9C">
        <w:rPr>
          <w:b/>
        </w:rPr>
        <w:t xml:space="preserve">Figure 1: </w:t>
      </w:r>
      <w:r>
        <w:t>A comparative view of the 2 dimensional structures of the hit compound (Left) and lead compound (Right) as generated by students with rings labelled 1 and 2.</w:t>
      </w:r>
    </w:p>
    <w:p w14:paraId="1E843700" w14:textId="77777777" w:rsidR="007425F2" w:rsidRDefault="007425F2" w:rsidP="007425F2">
      <w:pPr>
        <w:pStyle w:val="ListParagraph"/>
        <w:ind w:left="360"/>
        <w:jc w:val="both"/>
      </w:pPr>
    </w:p>
    <w:p w14:paraId="513EAD6D" w14:textId="77777777" w:rsidR="007425F2" w:rsidRDefault="007425F2" w:rsidP="007425F2">
      <w:pPr>
        <w:pStyle w:val="ListParagraph"/>
        <w:ind w:left="360"/>
        <w:jc w:val="both"/>
      </w:pPr>
    </w:p>
    <w:p w14:paraId="6C9011CD" w14:textId="77777777" w:rsidR="007425F2" w:rsidRDefault="007425F2" w:rsidP="007425F2">
      <w:pPr>
        <w:pStyle w:val="ListParagraph"/>
        <w:ind w:left="360"/>
        <w:jc w:val="both"/>
      </w:pPr>
      <w:r>
        <w:rPr>
          <w:noProof/>
        </w:rPr>
        <w:lastRenderedPageBreak/>
        <w:drawing>
          <wp:inline distT="0" distB="0" distL="0" distR="0" wp14:anchorId="29D4C6B4" wp14:editId="62D7B790">
            <wp:extent cx="5723890" cy="41205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3890" cy="4120515"/>
                    </a:xfrm>
                    <a:prstGeom prst="rect">
                      <a:avLst/>
                    </a:prstGeom>
                    <a:noFill/>
                    <a:ln>
                      <a:noFill/>
                    </a:ln>
                  </pic:spPr>
                </pic:pic>
              </a:graphicData>
            </a:graphic>
          </wp:inline>
        </w:drawing>
      </w:r>
    </w:p>
    <w:p w14:paraId="6E07D231" w14:textId="77777777" w:rsidR="007425F2" w:rsidRPr="00767791" w:rsidRDefault="007425F2" w:rsidP="007425F2">
      <w:pPr>
        <w:pStyle w:val="ListParagraph"/>
        <w:ind w:left="360"/>
        <w:jc w:val="both"/>
      </w:pPr>
      <w:r w:rsidRPr="009510D7">
        <w:rPr>
          <w:b/>
        </w:rPr>
        <w:t xml:space="preserve">Figure 2: </w:t>
      </w:r>
      <w:r>
        <w:t xml:space="preserve">A theoretical docking pose of the hit compound in the allosteric site of </w:t>
      </w:r>
      <w:r w:rsidRPr="009510D7">
        <w:rPr>
          <w:rFonts w:cstheme="minorHAnsi"/>
        </w:rPr>
        <w:t>α</w:t>
      </w:r>
      <w:r w:rsidRPr="00317204">
        <w:rPr>
          <w:rFonts w:cstheme="minorHAnsi"/>
          <w:vertAlign w:val="subscript"/>
        </w:rPr>
        <w:t>4</w:t>
      </w:r>
      <w:r w:rsidRPr="009510D7">
        <w:rPr>
          <w:rFonts w:cstheme="minorHAnsi"/>
        </w:rPr>
        <w:t>β</w:t>
      </w:r>
      <w:r w:rsidRPr="00317204">
        <w:rPr>
          <w:rFonts w:cstheme="minorHAnsi"/>
          <w:vertAlign w:val="subscript"/>
        </w:rPr>
        <w:t>2</w:t>
      </w:r>
      <w:r w:rsidRPr="009510D7">
        <w:rPr>
          <w:rFonts w:cstheme="minorHAnsi"/>
        </w:rPr>
        <w:t xml:space="preserve"> nicotinic receptor. The ligand-rec</w:t>
      </w:r>
      <w:r>
        <w:rPr>
          <w:rFonts w:cstheme="minorHAnsi"/>
        </w:rPr>
        <w:t>e</w:t>
      </w:r>
      <w:r w:rsidRPr="009510D7">
        <w:rPr>
          <w:rFonts w:cstheme="minorHAnsi"/>
        </w:rPr>
        <w:t xml:space="preserve">ptor complex contains several intermolecular interactions; </w:t>
      </w:r>
      <w:r w:rsidRPr="009510D7">
        <w:rPr>
          <w:rFonts w:cstheme="minorHAnsi"/>
          <w:i/>
        </w:rPr>
        <w:t>hydrogen bonds</w:t>
      </w:r>
      <w:r w:rsidRPr="009510D7">
        <w:rPr>
          <w:rFonts w:cstheme="minorHAnsi"/>
        </w:rPr>
        <w:t xml:space="preserve"> (blue) between phenol hydroxide and Primary amines (Lysine 107, Threonine 119, 106), carboxyl lone pairs and heterocyclic imidazole (Histidine 109) and ester lone pair to hydroxide (Serine 148, Tyrosine 190) and </w:t>
      </w:r>
      <w:r w:rsidRPr="009510D7">
        <w:rPr>
          <w:rFonts w:cstheme="minorHAnsi"/>
          <w:i/>
        </w:rPr>
        <w:t>pi-pi stacking</w:t>
      </w:r>
      <w:r w:rsidRPr="009510D7">
        <w:rPr>
          <w:rFonts w:cstheme="minorHAnsi"/>
        </w:rPr>
        <w:t xml:space="preserve"> (orange) between ring 1 to heterocyclic indole (Tryptophan 149) and ring 2 to heterocyclic indole (Tryptophan 118).</w:t>
      </w:r>
    </w:p>
    <w:p w14:paraId="3D179138" w14:textId="77777777" w:rsidR="007425F2" w:rsidRPr="003D4607" w:rsidRDefault="007425F2" w:rsidP="007425F2">
      <w:pPr>
        <w:pStyle w:val="ListParagraph"/>
        <w:ind w:left="360"/>
        <w:jc w:val="both"/>
      </w:pPr>
      <w:r>
        <w:rPr>
          <w:noProof/>
        </w:rPr>
        <w:lastRenderedPageBreak/>
        <w:drawing>
          <wp:inline distT="0" distB="0" distL="0" distR="0" wp14:anchorId="08A9F6CB" wp14:editId="7B6D774D">
            <wp:extent cx="4405630" cy="46551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05630" cy="4655185"/>
                    </a:xfrm>
                    <a:prstGeom prst="rect">
                      <a:avLst/>
                    </a:prstGeom>
                    <a:noFill/>
                    <a:ln>
                      <a:noFill/>
                    </a:ln>
                  </pic:spPr>
                </pic:pic>
              </a:graphicData>
            </a:graphic>
          </wp:inline>
        </w:drawing>
      </w:r>
      <w:r>
        <w:rPr>
          <w:b/>
        </w:rPr>
        <w:br/>
      </w:r>
      <w:r w:rsidRPr="009510D7">
        <w:rPr>
          <w:b/>
        </w:rPr>
        <w:t>Figure 3:</w:t>
      </w:r>
      <w:r w:rsidRPr="00C56A08">
        <w:t xml:space="preserve"> </w:t>
      </w:r>
      <w:r>
        <w:t xml:space="preserve">A theoretical docking pose of the lead compound in the allosteric site of </w:t>
      </w:r>
      <w:r w:rsidRPr="009510D7">
        <w:rPr>
          <w:rFonts w:cstheme="minorHAnsi"/>
        </w:rPr>
        <w:t>α</w:t>
      </w:r>
      <w:r w:rsidRPr="00317204">
        <w:rPr>
          <w:rFonts w:cstheme="minorHAnsi"/>
          <w:vertAlign w:val="subscript"/>
        </w:rPr>
        <w:t>4</w:t>
      </w:r>
      <w:r w:rsidRPr="009510D7">
        <w:rPr>
          <w:rFonts w:cstheme="minorHAnsi"/>
        </w:rPr>
        <w:t>β</w:t>
      </w:r>
      <w:r w:rsidRPr="00317204">
        <w:rPr>
          <w:rFonts w:cstheme="minorHAnsi"/>
          <w:vertAlign w:val="subscript"/>
        </w:rPr>
        <w:t>2</w:t>
      </w:r>
      <w:r w:rsidRPr="009510D7">
        <w:rPr>
          <w:rFonts w:cstheme="minorHAnsi"/>
        </w:rPr>
        <w:t xml:space="preserve"> nicotinic receptor. The ligand-rec</w:t>
      </w:r>
      <w:r>
        <w:rPr>
          <w:rFonts w:cstheme="minorHAnsi"/>
        </w:rPr>
        <w:t>e</w:t>
      </w:r>
      <w:r w:rsidRPr="009510D7">
        <w:rPr>
          <w:rFonts w:cstheme="minorHAnsi"/>
        </w:rPr>
        <w:t xml:space="preserve">ptor complex contains several intermolecular interactions; </w:t>
      </w:r>
      <w:r w:rsidRPr="009510D7">
        <w:rPr>
          <w:rFonts w:cstheme="minorHAnsi"/>
          <w:i/>
        </w:rPr>
        <w:t>hydrogen bonds</w:t>
      </w:r>
      <w:r w:rsidRPr="009510D7">
        <w:rPr>
          <w:rFonts w:cstheme="minorHAnsi"/>
        </w:rPr>
        <w:t xml:space="preserve"> (blue) between phenol hydroxide and Primary amines (Lysine 107, 57 and Threonine 119, 106), carboxyl lone pairs and heterocyclic imidazole (Histidine 109) and </w:t>
      </w:r>
      <w:r w:rsidRPr="009510D7">
        <w:rPr>
          <w:rFonts w:cstheme="minorHAnsi"/>
          <w:i/>
        </w:rPr>
        <w:t>pi-pi stacking</w:t>
      </w:r>
      <w:r w:rsidRPr="009510D7">
        <w:rPr>
          <w:rFonts w:cstheme="minorHAnsi"/>
        </w:rPr>
        <w:t xml:space="preserve"> (orange) between ring 1 to heterocyclic indole (Tryptophan 55) and Phenol (Tyrosine 197) and ring 2 to heterocyclic indole (Tryptophan 118).</w:t>
      </w:r>
      <w:r>
        <w:rPr>
          <w:rFonts w:cstheme="minorHAnsi"/>
        </w:rPr>
        <w:br/>
      </w:r>
    </w:p>
    <w:p w14:paraId="4C2AEF14" w14:textId="77777777" w:rsidR="007425F2" w:rsidRPr="00660ED6" w:rsidRDefault="007425F2" w:rsidP="007425F2">
      <w:pPr>
        <w:pStyle w:val="ListParagraph"/>
        <w:ind w:left="360"/>
        <w:jc w:val="both"/>
      </w:pPr>
      <w:r w:rsidRPr="009510D7">
        <w:rPr>
          <w:b/>
        </w:rPr>
        <w:t>Table 1:</w:t>
      </w:r>
      <w:r>
        <w:t xml:space="preserve"> A report of the docking scores generated by Prime software. Scores of natural and existing therapeutic ligands as well as research and student tested ligands with the Allosteric binding site of </w:t>
      </w:r>
      <w:r w:rsidRPr="009510D7">
        <w:rPr>
          <w:rFonts w:cstheme="minorHAnsi"/>
        </w:rPr>
        <w:t>α</w:t>
      </w:r>
      <w:r w:rsidRPr="00317204">
        <w:rPr>
          <w:rFonts w:cstheme="minorHAnsi"/>
          <w:vertAlign w:val="subscript"/>
        </w:rPr>
        <w:t>4</w:t>
      </w:r>
      <w:r w:rsidRPr="009510D7">
        <w:rPr>
          <w:rFonts w:cstheme="minorHAnsi"/>
        </w:rPr>
        <w:t>β</w:t>
      </w:r>
      <w:r w:rsidRPr="00317204">
        <w:rPr>
          <w:rFonts w:cstheme="minorHAnsi"/>
          <w:vertAlign w:val="subscript"/>
        </w:rPr>
        <w:t>2</w:t>
      </w:r>
      <w:r w:rsidRPr="009510D7">
        <w:rPr>
          <w:rFonts w:cstheme="minorHAnsi"/>
        </w:rPr>
        <w:t xml:space="preserve"> Nicotinic receptor</w:t>
      </w:r>
      <w:r>
        <w:t>.</w:t>
      </w:r>
    </w:p>
    <w:tbl>
      <w:tblPr>
        <w:tblStyle w:val="PlainTable3"/>
        <w:tblW w:w="0" w:type="auto"/>
        <w:tblLook w:val="04A0" w:firstRow="1" w:lastRow="0" w:firstColumn="1" w:lastColumn="0" w:noHBand="0" w:noVBand="1"/>
      </w:tblPr>
      <w:tblGrid>
        <w:gridCol w:w="4508"/>
        <w:gridCol w:w="4508"/>
      </w:tblGrid>
      <w:tr w:rsidR="007425F2" w14:paraId="11FDD611" w14:textId="77777777" w:rsidTr="00ED36F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08" w:type="dxa"/>
          </w:tcPr>
          <w:p w14:paraId="2622B506" w14:textId="77777777" w:rsidR="007425F2" w:rsidRDefault="007425F2" w:rsidP="00ED36F8">
            <w:pPr>
              <w:jc w:val="both"/>
            </w:pPr>
            <w:r>
              <w:t>Ligand</w:t>
            </w:r>
          </w:p>
        </w:tc>
        <w:tc>
          <w:tcPr>
            <w:tcW w:w="4508" w:type="dxa"/>
          </w:tcPr>
          <w:p w14:paraId="1C876A18" w14:textId="77777777" w:rsidR="007425F2" w:rsidRDefault="007425F2" w:rsidP="00ED36F8">
            <w:pPr>
              <w:jc w:val="both"/>
              <w:cnfStyle w:val="100000000000" w:firstRow="1" w:lastRow="0" w:firstColumn="0" w:lastColumn="0" w:oddVBand="0" w:evenVBand="0" w:oddHBand="0" w:evenHBand="0" w:firstRowFirstColumn="0" w:firstRowLastColumn="0" w:lastRowFirstColumn="0" w:lastRowLastColumn="0"/>
            </w:pPr>
            <w:r>
              <w:t>Docking Score</w:t>
            </w:r>
          </w:p>
        </w:tc>
      </w:tr>
      <w:tr w:rsidR="007425F2" w14:paraId="1EBC37DF" w14:textId="77777777" w:rsidTr="00ED3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209F842" w14:textId="77777777" w:rsidR="007425F2" w:rsidRDefault="007425F2" w:rsidP="00ED36F8">
            <w:pPr>
              <w:jc w:val="both"/>
            </w:pPr>
            <w:r>
              <w:t>Epibatedine</w:t>
            </w:r>
          </w:p>
        </w:tc>
        <w:tc>
          <w:tcPr>
            <w:tcW w:w="4508" w:type="dxa"/>
          </w:tcPr>
          <w:p w14:paraId="6385CAA6" w14:textId="77777777" w:rsidR="007425F2" w:rsidRDefault="007425F2" w:rsidP="00ED36F8">
            <w:pPr>
              <w:jc w:val="both"/>
              <w:cnfStyle w:val="000000100000" w:firstRow="0" w:lastRow="0" w:firstColumn="0" w:lastColumn="0" w:oddVBand="0" w:evenVBand="0" w:oddHBand="1" w:evenHBand="0" w:firstRowFirstColumn="0" w:firstRowLastColumn="0" w:lastRowFirstColumn="0" w:lastRowLastColumn="0"/>
            </w:pPr>
            <w:r>
              <w:t>-7.588</w:t>
            </w:r>
          </w:p>
        </w:tc>
      </w:tr>
      <w:tr w:rsidR="007425F2" w14:paraId="18A19B59" w14:textId="77777777" w:rsidTr="00ED36F8">
        <w:tc>
          <w:tcPr>
            <w:cnfStyle w:val="001000000000" w:firstRow="0" w:lastRow="0" w:firstColumn="1" w:lastColumn="0" w:oddVBand="0" w:evenVBand="0" w:oddHBand="0" w:evenHBand="0" w:firstRowFirstColumn="0" w:firstRowLastColumn="0" w:lastRowFirstColumn="0" w:lastRowLastColumn="0"/>
            <w:tcW w:w="4508" w:type="dxa"/>
          </w:tcPr>
          <w:p w14:paraId="35B81943" w14:textId="77777777" w:rsidR="007425F2" w:rsidRDefault="007425F2" w:rsidP="00ED36F8">
            <w:pPr>
              <w:jc w:val="both"/>
            </w:pPr>
            <w:r>
              <w:t>Nicotine</w:t>
            </w:r>
          </w:p>
        </w:tc>
        <w:tc>
          <w:tcPr>
            <w:tcW w:w="4508" w:type="dxa"/>
          </w:tcPr>
          <w:p w14:paraId="72AE0278" w14:textId="77777777" w:rsidR="007425F2" w:rsidRDefault="007425F2" w:rsidP="00ED36F8">
            <w:pPr>
              <w:jc w:val="both"/>
              <w:cnfStyle w:val="000000000000" w:firstRow="0" w:lastRow="0" w:firstColumn="0" w:lastColumn="0" w:oddVBand="0" w:evenVBand="0" w:oddHBand="0" w:evenHBand="0" w:firstRowFirstColumn="0" w:firstRowLastColumn="0" w:lastRowFirstColumn="0" w:lastRowLastColumn="0"/>
            </w:pPr>
            <w:r>
              <w:t>-5.924</w:t>
            </w:r>
          </w:p>
        </w:tc>
      </w:tr>
      <w:tr w:rsidR="007425F2" w14:paraId="5ED364CA" w14:textId="77777777" w:rsidTr="00ED3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0AD17296" w14:textId="77777777" w:rsidR="007425F2" w:rsidRDefault="007425F2" w:rsidP="00ED36F8">
            <w:pPr>
              <w:jc w:val="both"/>
            </w:pPr>
            <w:r>
              <w:t>NS9283</w:t>
            </w:r>
          </w:p>
        </w:tc>
        <w:tc>
          <w:tcPr>
            <w:tcW w:w="4508" w:type="dxa"/>
          </w:tcPr>
          <w:p w14:paraId="2025A263" w14:textId="77777777" w:rsidR="007425F2" w:rsidRDefault="007425F2" w:rsidP="00ED36F8">
            <w:pPr>
              <w:jc w:val="both"/>
              <w:cnfStyle w:val="000000100000" w:firstRow="0" w:lastRow="0" w:firstColumn="0" w:lastColumn="0" w:oddVBand="0" w:evenVBand="0" w:oddHBand="1" w:evenHBand="0" w:firstRowFirstColumn="0" w:firstRowLastColumn="0" w:lastRowFirstColumn="0" w:lastRowLastColumn="0"/>
            </w:pPr>
            <w:r>
              <w:t>-5.798</w:t>
            </w:r>
          </w:p>
        </w:tc>
      </w:tr>
      <w:tr w:rsidR="007425F2" w14:paraId="537F1888" w14:textId="77777777" w:rsidTr="00ED36F8">
        <w:tc>
          <w:tcPr>
            <w:cnfStyle w:val="001000000000" w:firstRow="0" w:lastRow="0" w:firstColumn="1" w:lastColumn="0" w:oddVBand="0" w:evenVBand="0" w:oddHBand="0" w:evenHBand="0" w:firstRowFirstColumn="0" w:firstRowLastColumn="0" w:lastRowFirstColumn="0" w:lastRowLastColumn="0"/>
            <w:tcW w:w="4508" w:type="dxa"/>
          </w:tcPr>
          <w:p w14:paraId="6ECE7564" w14:textId="77777777" w:rsidR="007425F2" w:rsidRDefault="007425F2" w:rsidP="00ED36F8">
            <w:pPr>
              <w:jc w:val="both"/>
            </w:pPr>
            <w:r>
              <w:t>Hit Compound</w:t>
            </w:r>
          </w:p>
        </w:tc>
        <w:tc>
          <w:tcPr>
            <w:tcW w:w="4508" w:type="dxa"/>
          </w:tcPr>
          <w:p w14:paraId="017A7FA2" w14:textId="77777777" w:rsidR="007425F2" w:rsidRDefault="007425F2" w:rsidP="00ED36F8">
            <w:pPr>
              <w:jc w:val="both"/>
              <w:cnfStyle w:val="000000000000" w:firstRow="0" w:lastRow="0" w:firstColumn="0" w:lastColumn="0" w:oddVBand="0" w:evenVBand="0" w:oddHBand="0" w:evenHBand="0" w:firstRowFirstColumn="0" w:firstRowLastColumn="0" w:lastRowFirstColumn="0" w:lastRowLastColumn="0"/>
            </w:pPr>
            <w:r>
              <w:t>-9.618</w:t>
            </w:r>
          </w:p>
        </w:tc>
      </w:tr>
      <w:tr w:rsidR="007425F2" w14:paraId="11722D7B" w14:textId="77777777" w:rsidTr="00ED36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DDCF977" w14:textId="77777777" w:rsidR="007425F2" w:rsidRDefault="007425F2" w:rsidP="00ED36F8">
            <w:pPr>
              <w:jc w:val="both"/>
            </w:pPr>
            <w:r>
              <w:t>Lead compound</w:t>
            </w:r>
          </w:p>
        </w:tc>
        <w:tc>
          <w:tcPr>
            <w:tcW w:w="4508" w:type="dxa"/>
          </w:tcPr>
          <w:p w14:paraId="315B2A4A" w14:textId="77777777" w:rsidR="007425F2" w:rsidRDefault="007425F2" w:rsidP="00ED36F8">
            <w:pPr>
              <w:jc w:val="both"/>
              <w:cnfStyle w:val="000000100000" w:firstRow="0" w:lastRow="0" w:firstColumn="0" w:lastColumn="0" w:oddVBand="0" w:evenVBand="0" w:oddHBand="1" w:evenHBand="0" w:firstRowFirstColumn="0" w:firstRowLastColumn="0" w:lastRowFirstColumn="0" w:lastRowLastColumn="0"/>
            </w:pPr>
            <w:r>
              <w:t>-10.193</w:t>
            </w:r>
          </w:p>
        </w:tc>
      </w:tr>
    </w:tbl>
    <w:p w14:paraId="64477DEE" w14:textId="77777777" w:rsidR="007425F2" w:rsidRDefault="007425F2" w:rsidP="007425F2">
      <w:pPr>
        <w:jc w:val="both"/>
        <w:rPr>
          <w:rFonts w:eastAsia="Times New Roman"/>
          <w:b/>
        </w:rPr>
      </w:pPr>
    </w:p>
    <w:p w14:paraId="36C4F225" w14:textId="77777777" w:rsidR="007425F2" w:rsidRDefault="007425F2" w:rsidP="007425F2">
      <w:pPr>
        <w:jc w:val="both"/>
        <w:rPr>
          <w:rFonts w:eastAsia="Times New Roman"/>
          <w:b/>
        </w:rPr>
      </w:pPr>
    </w:p>
    <w:p w14:paraId="1CF15E4B" w14:textId="77777777" w:rsidR="007425F2" w:rsidRDefault="007425F2" w:rsidP="007425F2">
      <w:pPr>
        <w:jc w:val="both"/>
        <w:rPr>
          <w:rFonts w:eastAsia="Times New Roman"/>
          <w:b/>
        </w:rPr>
      </w:pPr>
    </w:p>
    <w:p w14:paraId="10C20D98" w14:textId="77777777" w:rsidR="007425F2" w:rsidRDefault="007425F2" w:rsidP="007425F2">
      <w:pPr>
        <w:jc w:val="both"/>
        <w:rPr>
          <w:rFonts w:eastAsia="Times New Roman"/>
          <w:b/>
        </w:rPr>
      </w:pPr>
    </w:p>
    <w:p w14:paraId="5BF92FDE" w14:textId="77777777" w:rsidR="007425F2" w:rsidRDefault="007425F2" w:rsidP="007425F2">
      <w:pPr>
        <w:jc w:val="both"/>
        <w:rPr>
          <w:rFonts w:eastAsia="Times New Roman"/>
          <w:b/>
        </w:rPr>
      </w:pPr>
    </w:p>
    <w:p w14:paraId="13934FBD" w14:textId="77777777" w:rsidR="007425F2" w:rsidRDefault="007425F2" w:rsidP="007425F2">
      <w:pPr>
        <w:jc w:val="both"/>
        <w:rPr>
          <w:rFonts w:eastAsia="Times New Roman"/>
          <w:b/>
        </w:rPr>
      </w:pPr>
    </w:p>
    <w:p w14:paraId="25B700C9" w14:textId="01AE377C" w:rsidR="007425F2" w:rsidRPr="005D67A3" w:rsidRDefault="007425F2" w:rsidP="007425F2">
      <w:pPr>
        <w:jc w:val="both"/>
        <w:rPr>
          <w:rFonts w:eastAsia="Times New Roman"/>
          <w:b/>
        </w:rPr>
      </w:pPr>
      <w:r w:rsidRPr="005D67A3">
        <w:rPr>
          <w:rFonts w:eastAsia="Times New Roman"/>
          <w:b/>
        </w:rPr>
        <w:lastRenderedPageBreak/>
        <w:t>Discussion</w:t>
      </w:r>
    </w:p>
    <w:p w14:paraId="78A5D304" w14:textId="77777777" w:rsidR="007425F2" w:rsidRPr="00B26A0D" w:rsidRDefault="007425F2" w:rsidP="007425F2">
      <w:pPr>
        <w:jc w:val="both"/>
      </w:pPr>
      <w:r w:rsidRPr="00B26A0D">
        <w:t>Drug discovery has significantly advanced with the use of two techniques; computational screening and struct</w:t>
      </w:r>
      <w:r>
        <w:t>ure-based virtual screening.</w:t>
      </w:r>
      <w:r w:rsidRPr="00B26A0D">
        <w:t xml:space="preserve"> </w:t>
      </w:r>
      <w:r>
        <w:t>R</w:t>
      </w:r>
      <w:r w:rsidRPr="00B26A0D">
        <w:t>apid identifi</w:t>
      </w:r>
      <w:r>
        <w:t>cation of quality lead compound</w:t>
      </w:r>
      <w:r w:rsidRPr="00B26A0D">
        <w:t>s has significa</w:t>
      </w:r>
      <w:r>
        <w:t xml:space="preserve">ntly </w:t>
      </w:r>
      <w:r w:rsidRPr="00B26A0D">
        <w:t xml:space="preserve">eased the discovery of potential therapeutic targets </w:t>
      </w:r>
      <w:r w:rsidRPr="00317204">
        <w:rPr>
          <w:vertAlign w:val="superscript"/>
        </w:rPr>
        <w:t>[3]</w:t>
      </w:r>
      <w:r w:rsidRPr="00B26A0D">
        <w:t>. To effectively optimize the l</w:t>
      </w:r>
      <w:r>
        <w:t>ead compound, it wa</w:t>
      </w:r>
      <w:r w:rsidRPr="00B26A0D">
        <w:t>s modified</w:t>
      </w:r>
      <w:r>
        <w:t xml:space="preserve"> randomly and tested following each modification. P</w:t>
      </w:r>
      <w:r w:rsidRPr="00B26A0D">
        <w:t>harmacophore mapping</w:t>
      </w:r>
      <w:r>
        <w:t xml:space="preserve"> was used</w:t>
      </w:r>
      <w:r w:rsidRPr="00B26A0D">
        <w:t xml:space="preserve"> to differentiate g</w:t>
      </w:r>
      <w:r>
        <w:t>eneralized molecular features f</w:t>
      </w:r>
      <w:r w:rsidRPr="00B26A0D">
        <w:t>r</w:t>
      </w:r>
      <w:r>
        <w:t>om</w:t>
      </w:r>
      <w:r w:rsidRPr="00B26A0D">
        <w:t xml:space="preserve"> anticipated biological activities </w:t>
      </w:r>
      <w:r w:rsidRPr="001A29AA">
        <w:rPr>
          <w:vertAlign w:val="superscript"/>
        </w:rPr>
        <w:t>[4]</w:t>
      </w:r>
      <w:r w:rsidRPr="00B26A0D">
        <w:t xml:space="preserve">. </w:t>
      </w:r>
      <w:r>
        <w:t>The final lead compound was 4’-hydroxychalcone.</w:t>
      </w:r>
    </w:p>
    <w:p w14:paraId="0C9D42E8" w14:textId="77777777" w:rsidR="007425F2" w:rsidRPr="00B26A0D" w:rsidRDefault="007425F2" w:rsidP="007425F2">
      <w:pPr>
        <w:jc w:val="both"/>
        <w:rPr>
          <w:bCs/>
        </w:rPr>
      </w:pPr>
    </w:p>
    <w:p w14:paraId="081C7AE7" w14:textId="77777777" w:rsidR="007425F2" w:rsidRPr="00B26A0D" w:rsidRDefault="007425F2" w:rsidP="007425F2">
      <w:pPr>
        <w:jc w:val="both"/>
        <w:rPr>
          <w:rFonts w:eastAsia="Times New Roman"/>
          <w:b/>
          <w:i/>
        </w:rPr>
      </w:pPr>
      <w:r>
        <w:rPr>
          <w:rFonts w:eastAsia="Times New Roman"/>
          <w:b/>
          <w:i/>
        </w:rPr>
        <w:t>Dockin</w:t>
      </w:r>
      <w:r w:rsidRPr="00B26A0D">
        <w:rPr>
          <w:rFonts w:eastAsia="Times New Roman"/>
          <w:b/>
          <w:i/>
        </w:rPr>
        <w:t>g</w:t>
      </w:r>
      <w:r>
        <w:rPr>
          <w:rFonts w:eastAsia="Times New Roman"/>
          <w:b/>
          <w:i/>
        </w:rPr>
        <w:t xml:space="preserve"> interactions:</w:t>
      </w:r>
    </w:p>
    <w:p w14:paraId="47A3A15F" w14:textId="77777777" w:rsidR="007425F2" w:rsidRPr="00B26A0D" w:rsidRDefault="007425F2" w:rsidP="007425F2">
      <w:pPr>
        <w:jc w:val="both"/>
        <w:rPr>
          <w:rFonts w:eastAsia="Times New Roman"/>
        </w:rPr>
      </w:pPr>
      <w:r w:rsidRPr="00B26A0D">
        <w:t>The optimized compound was created according to pharmacophore mapping, where favorable regions were potential sites</w:t>
      </w:r>
      <w:r>
        <w:t xml:space="preserve"> for change</w:t>
      </w:r>
      <w:r w:rsidRPr="00B26A0D">
        <w:t xml:space="preserve">. </w:t>
      </w:r>
      <w:r>
        <w:t>4’-hydroxychalcone was created after</w:t>
      </w:r>
      <w:r w:rsidRPr="00B26A0D">
        <w:t xml:space="preserve"> removing the ether group from the</w:t>
      </w:r>
      <w:r>
        <w:t xml:space="preserve"> hit (F</w:t>
      </w:r>
      <w:r w:rsidRPr="00B26A0D">
        <w:t xml:space="preserve">igure 1). This resulted in an improved docking score of </w:t>
      </w:r>
      <w:r>
        <w:t>-10.193 and wa</w:t>
      </w:r>
      <w:r w:rsidRPr="00B26A0D">
        <w:t>s due to hydrophilic and hydrophobic bonds positioned in</w:t>
      </w:r>
      <w:r>
        <w:t xml:space="preserve"> more</w:t>
      </w:r>
      <w:r w:rsidRPr="00B26A0D">
        <w:t xml:space="preserve"> favorable</w:t>
      </w:r>
      <w:r>
        <w:t xml:space="preserve"> positions</w:t>
      </w:r>
      <w:r w:rsidRPr="00B26A0D">
        <w:t>.</w:t>
      </w:r>
      <w:r>
        <w:t xml:space="preserve"> The removal of the Ether also strengthened the pi interactions for ring 1</w:t>
      </w:r>
      <w:r w:rsidRPr="00B26A0D">
        <w:rPr>
          <w:rFonts w:eastAsia="Times New Roman"/>
        </w:rPr>
        <w:t xml:space="preserve"> </w:t>
      </w:r>
      <w:r>
        <w:rPr>
          <w:rFonts w:eastAsia="Times New Roman"/>
        </w:rPr>
        <w:t>(F</w:t>
      </w:r>
      <w:r w:rsidRPr="00B26A0D">
        <w:rPr>
          <w:rFonts w:eastAsia="Times New Roman"/>
        </w:rPr>
        <w:t>igure 2)</w:t>
      </w:r>
      <w:r>
        <w:rPr>
          <w:rFonts w:eastAsia="Times New Roman"/>
        </w:rPr>
        <w:t>, as electron withdrawing groups have been shown to weaken pi interactions</w:t>
      </w:r>
      <w:r w:rsidRPr="00B26A0D">
        <w:rPr>
          <w:rFonts w:eastAsia="Times New Roman"/>
        </w:rPr>
        <w:t xml:space="preserve"> </w:t>
      </w:r>
      <w:r w:rsidRPr="001A29AA">
        <w:rPr>
          <w:rFonts w:eastAsia="Times New Roman"/>
          <w:vertAlign w:val="superscript"/>
        </w:rPr>
        <w:t>[5],</w:t>
      </w:r>
      <w:r w:rsidRPr="00B26A0D">
        <w:rPr>
          <w:rFonts w:eastAsia="Times New Roman"/>
        </w:rPr>
        <w:t xml:space="preserve"> </w:t>
      </w:r>
      <w:r w:rsidRPr="001A29AA">
        <w:rPr>
          <w:rFonts w:eastAsia="Times New Roman"/>
          <w:vertAlign w:val="superscript"/>
        </w:rPr>
        <w:t>[6]</w:t>
      </w:r>
      <w:r>
        <w:rPr>
          <w:rFonts w:eastAsia="Times New Roman"/>
        </w:rPr>
        <w:t>.</w:t>
      </w:r>
      <w:r w:rsidRPr="00B26A0D">
        <w:rPr>
          <w:rFonts w:eastAsia="Times New Roman"/>
        </w:rPr>
        <w:t xml:space="preserve"> More pi-pi </w:t>
      </w:r>
      <w:r>
        <w:rPr>
          <w:rFonts w:eastAsia="Times New Roman"/>
        </w:rPr>
        <w:t>interactions</w:t>
      </w:r>
      <w:r w:rsidRPr="00B26A0D">
        <w:rPr>
          <w:rFonts w:eastAsia="Times New Roman"/>
        </w:rPr>
        <w:t xml:space="preserve"> w</w:t>
      </w:r>
      <w:r>
        <w:rPr>
          <w:rFonts w:eastAsia="Times New Roman"/>
        </w:rPr>
        <w:t>ere</w:t>
      </w:r>
      <w:r w:rsidRPr="00B26A0D">
        <w:rPr>
          <w:rFonts w:eastAsia="Times New Roman"/>
        </w:rPr>
        <w:t xml:space="preserve"> also observed between ring 1</w:t>
      </w:r>
      <w:r>
        <w:rPr>
          <w:rFonts w:eastAsia="Times New Roman"/>
        </w:rPr>
        <w:t xml:space="preserve"> and α</w:t>
      </w:r>
      <w:r>
        <w:rPr>
          <w:rFonts w:eastAsia="Times New Roman"/>
          <w:vertAlign w:val="subscript"/>
        </w:rPr>
        <w:t>4</w:t>
      </w:r>
      <w:r>
        <w:rPr>
          <w:rFonts w:eastAsia="Times New Roman"/>
        </w:rPr>
        <w:t>β</w:t>
      </w:r>
      <w:r>
        <w:rPr>
          <w:rFonts w:eastAsia="Times New Roman"/>
          <w:vertAlign w:val="subscript"/>
        </w:rPr>
        <w:t>2</w:t>
      </w:r>
      <w:r w:rsidRPr="00B26A0D">
        <w:t>. Th</w:t>
      </w:r>
      <w:r>
        <w:t>ese additional</w:t>
      </w:r>
      <w:r w:rsidRPr="00B26A0D">
        <w:t xml:space="preserve"> pi-pi stack</w:t>
      </w:r>
      <w:r>
        <w:t>s</w:t>
      </w:r>
      <w:r w:rsidRPr="00B26A0D">
        <w:t xml:space="preserve"> </w:t>
      </w:r>
      <w:r>
        <w:t xml:space="preserve">also </w:t>
      </w:r>
      <w:r w:rsidRPr="00B26A0D">
        <w:t>increase</w:t>
      </w:r>
      <w:r>
        <w:t>d</w:t>
      </w:r>
      <w:r w:rsidRPr="00B26A0D">
        <w:t xml:space="preserve"> the binding affinity of the drug through its enhanced stability</w:t>
      </w:r>
      <w:r w:rsidRPr="001A29AA">
        <w:rPr>
          <w:vertAlign w:val="superscript"/>
        </w:rPr>
        <w:t xml:space="preserve"> [7]</w:t>
      </w:r>
      <w:r w:rsidRPr="00B26A0D">
        <w:t xml:space="preserve">. </w:t>
      </w:r>
    </w:p>
    <w:p w14:paraId="6B728EDA" w14:textId="77777777" w:rsidR="007425F2" w:rsidRPr="00B26A0D" w:rsidRDefault="007425F2" w:rsidP="007425F2">
      <w:pPr>
        <w:jc w:val="both"/>
        <w:rPr>
          <w:rFonts w:eastAsia="Times New Roman"/>
        </w:rPr>
      </w:pPr>
    </w:p>
    <w:p w14:paraId="24DF3D21" w14:textId="77777777" w:rsidR="007425F2" w:rsidRPr="00B26A0D" w:rsidRDefault="007425F2" w:rsidP="007425F2">
      <w:pPr>
        <w:jc w:val="both"/>
        <w:rPr>
          <w:b/>
          <w:bCs/>
          <w:i/>
        </w:rPr>
      </w:pPr>
      <w:r w:rsidRPr="00B26A0D">
        <w:rPr>
          <w:b/>
          <w:bCs/>
          <w:i/>
        </w:rPr>
        <w:t>Docking:</w:t>
      </w:r>
    </w:p>
    <w:p w14:paraId="2338DF40" w14:textId="77777777" w:rsidR="007425F2" w:rsidRDefault="007425F2" w:rsidP="007425F2">
      <w:pPr>
        <w:jc w:val="both"/>
        <w:rPr>
          <w:rFonts w:eastAsia="Times New Roman"/>
          <w:shd w:val="clear" w:color="auto" w:fill="FFFFFF"/>
        </w:rPr>
      </w:pPr>
      <w:r w:rsidRPr="00B26A0D">
        <w:rPr>
          <w:bCs/>
        </w:rPr>
        <w:t xml:space="preserve">The strength of the binding affinity of the ligand in the receptor site increased from </w:t>
      </w:r>
      <w:r w:rsidRPr="00B26A0D">
        <w:t>-9.618</w:t>
      </w:r>
      <w:r>
        <w:t xml:space="preserve"> (hit</w:t>
      </w:r>
      <w:r w:rsidRPr="00B26A0D">
        <w:t xml:space="preserve"> compound) to -10.193</w:t>
      </w:r>
      <w:r>
        <w:t xml:space="preserve"> (lead</w:t>
      </w:r>
      <w:r w:rsidRPr="00B26A0D">
        <w:t xml:space="preserve"> compound). </w:t>
      </w:r>
      <w:r>
        <w:t>The lead compound also had a better</w:t>
      </w:r>
      <w:r w:rsidRPr="00B26A0D">
        <w:t xml:space="preserve"> docking </w:t>
      </w:r>
      <w:r>
        <w:t>score than all three references. T</w:t>
      </w:r>
      <w:r w:rsidRPr="00B26A0D">
        <w:t>he</w:t>
      </w:r>
      <w:r>
        <w:t xml:space="preserve"> change of ring 1 from anisole to benzyl</w:t>
      </w:r>
      <w:r w:rsidRPr="00B26A0D">
        <w:t xml:space="preserve"> improved the docking score</w:t>
      </w:r>
      <w:r>
        <w:t xml:space="preserve"> as more pi-stacks</w:t>
      </w:r>
      <w:r w:rsidRPr="00B26A0D">
        <w:t xml:space="preserve"> </w:t>
      </w:r>
      <w:r>
        <w:t>formed and existing ones were</w:t>
      </w:r>
      <w:r w:rsidRPr="00B26A0D">
        <w:t xml:space="preserve"> strengthened.</w:t>
      </w:r>
      <w:r>
        <w:t xml:space="preserve"> This</w:t>
      </w:r>
      <w:r w:rsidRPr="00B26A0D">
        <w:t xml:space="preserve"> modification from the lead compound allowed a promising change in Gibbs binding free energy, as </w:t>
      </w:r>
      <w:r w:rsidRPr="00B26A0D">
        <w:rPr>
          <w:rFonts w:eastAsia="Times New Roman"/>
          <w:shd w:val="clear" w:color="auto" w:fill="FFFFFF"/>
        </w:rPr>
        <w:t xml:space="preserve">noncovalent bonds improved between the ligand and receptor </w:t>
      </w:r>
      <w:r w:rsidRPr="001A29AA">
        <w:rPr>
          <w:rFonts w:eastAsia="Times New Roman"/>
          <w:shd w:val="clear" w:color="auto" w:fill="FFFFFF"/>
          <w:vertAlign w:val="superscript"/>
        </w:rPr>
        <w:t>[</w:t>
      </w:r>
      <w:r>
        <w:rPr>
          <w:rFonts w:eastAsia="Times New Roman"/>
          <w:shd w:val="clear" w:color="auto" w:fill="FFFFFF"/>
          <w:vertAlign w:val="superscript"/>
        </w:rPr>
        <w:t>8</w:t>
      </w:r>
      <w:r w:rsidRPr="001A29AA">
        <w:rPr>
          <w:rFonts w:eastAsia="Times New Roman"/>
          <w:shd w:val="clear" w:color="auto" w:fill="FFFFFF"/>
          <w:vertAlign w:val="superscript"/>
        </w:rPr>
        <w:t>]</w:t>
      </w:r>
      <w:r w:rsidRPr="00B26A0D">
        <w:rPr>
          <w:rFonts w:eastAsia="Times New Roman"/>
          <w:shd w:val="clear" w:color="auto" w:fill="FFFFFF"/>
        </w:rPr>
        <w:t>.</w:t>
      </w:r>
    </w:p>
    <w:p w14:paraId="57D95FEF" w14:textId="77777777" w:rsidR="007425F2" w:rsidRDefault="007425F2" w:rsidP="007425F2">
      <w:pPr>
        <w:jc w:val="both"/>
        <w:rPr>
          <w:rFonts w:eastAsia="Times New Roman"/>
          <w:shd w:val="clear" w:color="auto" w:fill="FFFFFF"/>
        </w:rPr>
      </w:pPr>
    </w:p>
    <w:p w14:paraId="49422AD1" w14:textId="77777777" w:rsidR="007425F2" w:rsidRPr="00B26A0D" w:rsidRDefault="007425F2" w:rsidP="007425F2">
      <w:pPr>
        <w:jc w:val="both"/>
        <w:rPr>
          <w:rFonts w:eastAsia="Times New Roman"/>
          <w:b/>
          <w:i/>
        </w:rPr>
      </w:pPr>
      <w:r>
        <w:rPr>
          <w:rFonts w:eastAsia="Times New Roman"/>
          <w:b/>
          <w:i/>
        </w:rPr>
        <w:t>Molecular flaws</w:t>
      </w:r>
      <w:r w:rsidRPr="00B26A0D">
        <w:rPr>
          <w:rFonts w:eastAsia="Times New Roman"/>
          <w:b/>
          <w:i/>
        </w:rPr>
        <w:t>:</w:t>
      </w:r>
    </w:p>
    <w:p w14:paraId="0A716959" w14:textId="77777777" w:rsidR="007425F2" w:rsidRPr="00B26A0D" w:rsidRDefault="007425F2" w:rsidP="007425F2">
      <w:pPr>
        <w:jc w:val="both"/>
      </w:pPr>
      <w:r w:rsidRPr="00B26A0D">
        <w:t>The</w:t>
      </w:r>
      <w:r>
        <w:t xml:space="preserve"> unsaturated Carbonyl, which is β to the electron withdrawing</w:t>
      </w:r>
      <w:r w:rsidRPr="00B26A0D">
        <w:t xml:space="preserve"> keto</w:t>
      </w:r>
      <w:r>
        <w:t>ne</w:t>
      </w:r>
      <w:r w:rsidRPr="00B26A0D">
        <w:t xml:space="preserve"> group</w:t>
      </w:r>
      <w:r>
        <w:t xml:space="preserve"> can act as a Michael acceptor</w:t>
      </w:r>
      <w:r w:rsidRPr="00B26A0D">
        <w:t>.</w:t>
      </w:r>
      <w:r>
        <w:t xml:space="preserve"> The Michael acceptor can be attacked by base for nucleophilic addition.</w:t>
      </w:r>
      <w:r w:rsidRPr="00B26A0D">
        <w:t xml:space="preserve"> </w:t>
      </w:r>
      <w:r>
        <w:t>T</w:t>
      </w:r>
      <w:r w:rsidRPr="00B26A0D">
        <w:t>his reactiv</w:t>
      </w:r>
      <w:r>
        <w:t>e cent</w:t>
      </w:r>
      <w:r w:rsidRPr="00B26A0D">
        <w:t>e</w:t>
      </w:r>
      <w:r>
        <w:t>r may make this compound unsuitable as a drug</w:t>
      </w:r>
      <w:r w:rsidRPr="00B26A0D">
        <w:t xml:space="preserve">. Furthermore, </w:t>
      </w:r>
      <w:r>
        <w:t>chalcones</w:t>
      </w:r>
      <w:r w:rsidRPr="00B26A0D">
        <w:t xml:space="preserve"> have been known t</w:t>
      </w:r>
      <w:r>
        <w:t>o</w:t>
      </w:r>
      <w:r w:rsidRPr="00B26A0D">
        <w:t xml:space="preserve"> react with DNA</w:t>
      </w:r>
      <w:r>
        <w:t xml:space="preserve"> and be extremely allergenic, so off-site effects are likely to be many</w:t>
      </w:r>
      <w:r w:rsidRPr="00B26A0D">
        <w:t xml:space="preserve"> </w:t>
      </w:r>
      <w:r>
        <w:rPr>
          <w:vertAlign w:val="superscript"/>
        </w:rPr>
        <w:t>[9], [10</w:t>
      </w:r>
      <w:r w:rsidRPr="001A29AA">
        <w:rPr>
          <w:vertAlign w:val="superscript"/>
        </w:rPr>
        <w:t>]</w:t>
      </w:r>
      <w:r w:rsidRPr="00B26A0D">
        <w:t>.</w:t>
      </w:r>
    </w:p>
    <w:p w14:paraId="3BE33181" w14:textId="77777777" w:rsidR="007425F2" w:rsidRDefault="007425F2" w:rsidP="007425F2">
      <w:pPr>
        <w:jc w:val="both"/>
        <w:rPr>
          <w:rFonts w:eastAsia="Times New Roman"/>
        </w:rPr>
      </w:pPr>
    </w:p>
    <w:p w14:paraId="15EF0838" w14:textId="77777777" w:rsidR="007425F2" w:rsidRPr="008025FF" w:rsidRDefault="007425F2" w:rsidP="007425F2">
      <w:pPr>
        <w:jc w:val="both"/>
        <w:rPr>
          <w:rFonts w:eastAsia="Times New Roman"/>
          <w:b/>
          <w:i/>
        </w:rPr>
      </w:pPr>
      <w:r w:rsidRPr="008025FF">
        <w:rPr>
          <w:rFonts w:eastAsia="Times New Roman"/>
          <w:b/>
          <w:i/>
        </w:rPr>
        <w:t>Lipinski’s rule of five:</w:t>
      </w:r>
    </w:p>
    <w:p w14:paraId="0E1B0478" w14:textId="77777777" w:rsidR="007425F2" w:rsidRPr="00F76F64" w:rsidRDefault="007425F2" w:rsidP="007425F2">
      <w:pPr>
        <w:jc w:val="both"/>
        <w:rPr>
          <w:rFonts w:asciiTheme="minorBidi" w:hAnsiTheme="minorBidi" w:cstheme="minorBidi"/>
          <w:bCs/>
        </w:rPr>
      </w:pPr>
      <w:r>
        <w:rPr>
          <w:rFonts w:eastAsia="Times New Roman"/>
        </w:rPr>
        <w:t>Another simple judge of suitability for lead compounds is</w:t>
      </w:r>
      <w:r w:rsidRPr="00F76F64">
        <w:rPr>
          <w:rFonts w:eastAsia="Times New Roman"/>
        </w:rPr>
        <w:t xml:space="preserve"> Lipinski’s Rule of Five</w:t>
      </w:r>
      <w:r>
        <w:rPr>
          <w:rFonts w:eastAsia="Times New Roman"/>
        </w:rPr>
        <w:t xml:space="preserve">. The optimized compound had a molecular weight of 224g/mol, 1 hydrogen bond donor, 1 hydrogen bond acceptor and a log P value of 3.59. Each of these </w:t>
      </w:r>
      <w:r>
        <w:t xml:space="preserve">passes Lipinski’s rule of five. However, the target is within the brain, so a higher </w:t>
      </w:r>
      <w:proofErr w:type="spellStart"/>
      <w:r>
        <w:t>LogP</w:t>
      </w:r>
      <w:proofErr w:type="spellEnd"/>
      <w:r>
        <w:t xml:space="preserve"> (5-7) would be desirable. In conclusion, the lead may be a candidate for future assessment.</w:t>
      </w:r>
    </w:p>
    <w:p w14:paraId="3D8724F1" w14:textId="77777777" w:rsidR="007425F2" w:rsidRDefault="007425F2" w:rsidP="007425F2">
      <w:pPr>
        <w:jc w:val="both"/>
        <w:rPr>
          <w:rFonts w:asciiTheme="minorBidi" w:hAnsiTheme="minorBidi" w:cstheme="minorBidi"/>
          <w:bCs/>
        </w:rPr>
      </w:pPr>
    </w:p>
    <w:p w14:paraId="04A117FB" w14:textId="77777777" w:rsidR="007425F2" w:rsidRDefault="007425F2" w:rsidP="007425F2">
      <w:pPr>
        <w:jc w:val="both"/>
        <w:rPr>
          <w:rFonts w:eastAsia="Times New Roman"/>
          <w:b/>
        </w:rPr>
      </w:pPr>
    </w:p>
    <w:p w14:paraId="3321B746" w14:textId="77777777" w:rsidR="007425F2" w:rsidRDefault="007425F2" w:rsidP="007425F2">
      <w:pPr>
        <w:jc w:val="both"/>
        <w:rPr>
          <w:rFonts w:eastAsia="Times New Roman"/>
          <w:b/>
        </w:rPr>
      </w:pPr>
    </w:p>
    <w:p w14:paraId="2F80D006" w14:textId="77777777" w:rsidR="007425F2" w:rsidRDefault="007425F2" w:rsidP="007425F2">
      <w:pPr>
        <w:jc w:val="both"/>
        <w:rPr>
          <w:rFonts w:eastAsia="Times New Roman"/>
          <w:b/>
        </w:rPr>
      </w:pPr>
    </w:p>
    <w:p w14:paraId="7BB9369D" w14:textId="77777777" w:rsidR="007425F2" w:rsidRDefault="007425F2" w:rsidP="007425F2">
      <w:pPr>
        <w:jc w:val="both"/>
        <w:rPr>
          <w:rFonts w:eastAsia="Times New Roman"/>
          <w:b/>
        </w:rPr>
      </w:pPr>
    </w:p>
    <w:p w14:paraId="0B712D55" w14:textId="77777777" w:rsidR="007425F2" w:rsidRPr="003E6F7E" w:rsidRDefault="007425F2" w:rsidP="007425F2">
      <w:pPr>
        <w:pStyle w:val="ListParagraph"/>
        <w:jc w:val="both"/>
        <w:rPr>
          <w:rFonts w:eastAsia="Times New Roman"/>
        </w:rPr>
      </w:pPr>
    </w:p>
    <w:p w14:paraId="0FE4D8F1" w14:textId="77777777" w:rsidR="007425F2" w:rsidRPr="001919E1" w:rsidRDefault="007425F2" w:rsidP="007425F2">
      <w:pPr>
        <w:pStyle w:val="ListParagraph"/>
        <w:jc w:val="both"/>
      </w:pPr>
    </w:p>
    <w:p w14:paraId="59635ED4" w14:textId="77777777" w:rsidR="007425F2" w:rsidRPr="00823A9C" w:rsidRDefault="007425F2" w:rsidP="007425F2">
      <w:pPr>
        <w:jc w:val="both"/>
        <w:rPr>
          <w:rFonts w:eastAsia="Times New Roman"/>
          <w:b/>
        </w:rPr>
      </w:pPr>
      <w:r w:rsidRPr="00FA6B9C">
        <w:rPr>
          <w:rFonts w:eastAsia="Times New Roman"/>
          <w:b/>
        </w:rPr>
        <w:lastRenderedPageBreak/>
        <w:br/>
      </w:r>
      <w:r w:rsidRPr="00823A9C">
        <w:rPr>
          <w:rFonts w:eastAsia="Times New Roman"/>
          <w:b/>
        </w:rPr>
        <w:br/>
      </w:r>
      <w:r w:rsidRPr="00823A9C">
        <w:rPr>
          <w:rFonts w:eastAsia="Times New Roman"/>
          <w:b/>
        </w:rPr>
        <w:br/>
      </w:r>
      <w:r w:rsidRPr="00823A9C">
        <w:rPr>
          <w:rFonts w:eastAsia="Times New Roman"/>
          <w:b/>
        </w:rPr>
        <w:br/>
      </w:r>
      <w:r w:rsidRPr="00823A9C">
        <w:rPr>
          <w:rFonts w:eastAsia="Times New Roman"/>
          <w:b/>
        </w:rPr>
        <w:br/>
      </w:r>
      <w:r w:rsidRPr="00823A9C">
        <w:rPr>
          <w:rFonts w:eastAsia="Times New Roman"/>
          <w:b/>
        </w:rPr>
        <w:br/>
      </w:r>
    </w:p>
    <w:p w14:paraId="5439DD94" w14:textId="77777777" w:rsidR="007425F2" w:rsidRPr="00EE20A6" w:rsidRDefault="007425F2" w:rsidP="007425F2">
      <w:pPr>
        <w:pStyle w:val="ListParagraph"/>
        <w:ind w:left="360"/>
        <w:jc w:val="both"/>
        <w:rPr>
          <w:rFonts w:eastAsia="Times New Roman"/>
          <w:b/>
        </w:rPr>
      </w:pPr>
      <w:r w:rsidRPr="00EE20A6">
        <w:rPr>
          <w:rFonts w:eastAsia="Times New Roman"/>
          <w:b/>
        </w:rPr>
        <w:t>References.</w:t>
      </w:r>
    </w:p>
    <w:p w14:paraId="4AF66C8D" w14:textId="77777777" w:rsidR="007425F2" w:rsidRPr="004C1017" w:rsidRDefault="007425F2" w:rsidP="007425F2">
      <w:pPr>
        <w:pStyle w:val="ListParagraph"/>
        <w:numPr>
          <w:ilvl w:val="0"/>
          <w:numId w:val="3"/>
        </w:numPr>
        <w:jc w:val="both"/>
        <w:rPr>
          <w:rFonts w:eastAsia="Times New Roman"/>
          <w:color w:val="000000"/>
          <w:lang w:eastAsia="en-AU"/>
        </w:rPr>
      </w:pPr>
      <w:proofErr w:type="spellStart"/>
      <w:r w:rsidRPr="004C1017">
        <w:rPr>
          <w:rFonts w:eastAsia="Times New Roman"/>
          <w:color w:val="000000"/>
          <w:lang w:eastAsia="en-AU"/>
        </w:rPr>
        <w:t>Cavasotto</w:t>
      </w:r>
      <w:proofErr w:type="spellEnd"/>
      <w:r w:rsidRPr="004C1017">
        <w:rPr>
          <w:rFonts w:eastAsia="Times New Roman"/>
          <w:color w:val="000000"/>
          <w:lang w:eastAsia="en-AU"/>
        </w:rPr>
        <w:t xml:space="preserve">, CN, &amp; </w:t>
      </w:r>
      <w:proofErr w:type="spellStart"/>
      <w:r w:rsidRPr="004C1017">
        <w:rPr>
          <w:rFonts w:eastAsia="Times New Roman"/>
          <w:color w:val="000000"/>
          <w:lang w:eastAsia="en-AU"/>
        </w:rPr>
        <w:t>Phatak</w:t>
      </w:r>
      <w:proofErr w:type="spellEnd"/>
      <w:r w:rsidRPr="004C1017">
        <w:rPr>
          <w:rFonts w:eastAsia="Times New Roman"/>
          <w:color w:val="000000"/>
          <w:lang w:eastAsia="en-AU"/>
        </w:rPr>
        <w:t xml:space="preserve">, SS 2009, Homology modeling in drug discovery: current trends and applications. </w:t>
      </w:r>
      <w:r w:rsidRPr="004C1017">
        <w:rPr>
          <w:rFonts w:eastAsia="Times New Roman"/>
          <w:iCs/>
          <w:color w:val="000000"/>
          <w:lang w:eastAsia="en-AU"/>
        </w:rPr>
        <w:t>Drug Discovery Today,</w:t>
      </w:r>
      <w:r w:rsidRPr="004C1017">
        <w:rPr>
          <w:rFonts w:eastAsia="Times New Roman"/>
          <w:color w:val="000000"/>
          <w:lang w:eastAsia="en-AU"/>
        </w:rPr>
        <w:t xml:space="preserve"> 14</w:t>
      </w:r>
      <w:r w:rsidRPr="004C1017">
        <w:rPr>
          <w:rFonts w:eastAsia="Times New Roman"/>
          <w:b/>
          <w:bCs/>
          <w:color w:val="000000"/>
          <w:lang w:eastAsia="en-AU"/>
        </w:rPr>
        <w:t>,</w:t>
      </w:r>
      <w:r w:rsidRPr="004C1017">
        <w:rPr>
          <w:rFonts w:eastAsia="Times New Roman"/>
          <w:color w:val="000000"/>
          <w:lang w:eastAsia="en-AU"/>
        </w:rPr>
        <w:t xml:space="preserve"> 676-83.</w:t>
      </w:r>
    </w:p>
    <w:p w14:paraId="6AAF4BBD" w14:textId="77777777" w:rsidR="007425F2" w:rsidRPr="004C1017" w:rsidRDefault="007425F2" w:rsidP="007425F2">
      <w:pPr>
        <w:pStyle w:val="ListParagraph"/>
        <w:numPr>
          <w:ilvl w:val="0"/>
          <w:numId w:val="3"/>
        </w:numPr>
        <w:jc w:val="both"/>
      </w:pPr>
      <w:r w:rsidRPr="004C1017">
        <w:t xml:space="preserve">Bank R. RCSB Protein Data Bank - RCSB PDB [Internet]. Rcsb.org. 2017 [cited 3 June 2017]. Available from: </w:t>
      </w:r>
      <w:hyperlink r:id="rId9" w:history="1">
        <w:r w:rsidRPr="004C1017">
          <w:rPr>
            <w:rStyle w:val="Hyperlink"/>
          </w:rPr>
          <w:t>http://www.rcsb.org/pdb/home/home.do</w:t>
        </w:r>
      </w:hyperlink>
      <w:r w:rsidRPr="004C1017">
        <w:t>].</w:t>
      </w:r>
    </w:p>
    <w:p w14:paraId="61F98ECA" w14:textId="77777777" w:rsidR="007425F2" w:rsidRPr="004C1017" w:rsidRDefault="007425F2" w:rsidP="007425F2">
      <w:pPr>
        <w:pStyle w:val="ListParagraph"/>
        <w:numPr>
          <w:ilvl w:val="0"/>
          <w:numId w:val="3"/>
        </w:numPr>
        <w:jc w:val="both"/>
        <w:rPr>
          <w:rFonts w:eastAsia="Times New Roman"/>
        </w:rPr>
      </w:pPr>
      <w:proofErr w:type="spellStart"/>
      <w:r w:rsidRPr="004C1017">
        <w:rPr>
          <w:rFonts w:eastAsia="Times New Roman"/>
          <w:color w:val="222222"/>
          <w:shd w:val="clear" w:color="auto" w:fill="FFFFFF"/>
        </w:rPr>
        <w:t>Lyne</w:t>
      </w:r>
      <w:proofErr w:type="spellEnd"/>
      <w:r w:rsidRPr="004C1017">
        <w:rPr>
          <w:rFonts w:eastAsia="Times New Roman"/>
          <w:color w:val="222222"/>
          <w:shd w:val="clear" w:color="auto" w:fill="FFFFFF"/>
        </w:rPr>
        <w:t xml:space="preserve"> PD. Structure-based virtual screening: an overview. Drug discovery today. 2002 Oct 15;7(20):1047-55.</w:t>
      </w:r>
    </w:p>
    <w:p w14:paraId="3DE7C243" w14:textId="77777777" w:rsidR="007425F2" w:rsidRPr="004C1017" w:rsidRDefault="007425F2" w:rsidP="007425F2">
      <w:pPr>
        <w:pStyle w:val="ListParagraph"/>
        <w:numPr>
          <w:ilvl w:val="0"/>
          <w:numId w:val="3"/>
        </w:numPr>
        <w:jc w:val="both"/>
        <w:rPr>
          <w:rFonts w:eastAsia="Times New Roman"/>
        </w:rPr>
      </w:pPr>
      <w:r w:rsidRPr="004C1017">
        <w:rPr>
          <w:rFonts w:eastAsia="Times New Roman"/>
          <w:color w:val="222222"/>
          <w:shd w:val="clear" w:color="auto" w:fill="FFFFFF"/>
        </w:rPr>
        <w:t>Yang SY. Pharmacophore modeling and applications in drug discovery: challenges and recent advances. Drug discovery today. 2010 Jun 30;15(11):444-50.</w:t>
      </w:r>
    </w:p>
    <w:p w14:paraId="7F1446DF" w14:textId="77777777" w:rsidR="007425F2" w:rsidRPr="004C1017" w:rsidRDefault="007425F2" w:rsidP="007425F2">
      <w:pPr>
        <w:pStyle w:val="ListParagraph"/>
        <w:numPr>
          <w:ilvl w:val="0"/>
          <w:numId w:val="3"/>
        </w:numPr>
        <w:jc w:val="both"/>
        <w:rPr>
          <w:rFonts w:eastAsia="Times New Roman"/>
        </w:rPr>
      </w:pPr>
      <w:r w:rsidRPr="004C1017">
        <w:rPr>
          <w:rFonts w:eastAsia="Times New Roman"/>
          <w:color w:val="222222"/>
          <w:shd w:val="clear" w:color="auto" w:fill="FFFFFF"/>
        </w:rPr>
        <w:t xml:space="preserve">Roberts JD, </w:t>
      </w:r>
      <w:proofErr w:type="spellStart"/>
      <w:r w:rsidRPr="004C1017">
        <w:rPr>
          <w:rFonts w:eastAsia="Times New Roman"/>
          <w:color w:val="222222"/>
          <w:shd w:val="clear" w:color="auto" w:fill="FFFFFF"/>
        </w:rPr>
        <w:t>Caserio</w:t>
      </w:r>
      <w:proofErr w:type="spellEnd"/>
      <w:r w:rsidRPr="004C1017">
        <w:rPr>
          <w:rFonts w:eastAsia="Times New Roman"/>
          <w:color w:val="222222"/>
          <w:shd w:val="clear" w:color="auto" w:fill="FFFFFF"/>
        </w:rPr>
        <w:t xml:space="preserve"> MC. Basic principles of organic chemistry. WA Benjamin, 1977 May 15.</w:t>
      </w:r>
    </w:p>
    <w:p w14:paraId="47EFE49A" w14:textId="77777777" w:rsidR="007425F2" w:rsidRPr="004C1017" w:rsidRDefault="007425F2" w:rsidP="007425F2">
      <w:pPr>
        <w:pStyle w:val="ListParagraph"/>
        <w:numPr>
          <w:ilvl w:val="0"/>
          <w:numId w:val="3"/>
        </w:numPr>
        <w:jc w:val="both"/>
        <w:rPr>
          <w:rFonts w:eastAsia="Times New Roman"/>
        </w:rPr>
      </w:pPr>
      <w:proofErr w:type="spellStart"/>
      <w:r w:rsidRPr="004C1017">
        <w:rPr>
          <w:rFonts w:eastAsia="Times New Roman"/>
          <w:color w:val="222222"/>
          <w:shd w:val="clear" w:color="auto" w:fill="FFFFFF"/>
        </w:rPr>
        <w:t>Bissantz</w:t>
      </w:r>
      <w:proofErr w:type="spellEnd"/>
      <w:r w:rsidRPr="004C1017">
        <w:rPr>
          <w:rFonts w:eastAsia="Times New Roman"/>
          <w:color w:val="222222"/>
          <w:shd w:val="clear" w:color="auto" w:fill="FFFFFF"/>
        </w:rPr>
        <w:t xml:space="preserve"> C, Kuhn B, Stahl M. A medicinal chemist’s guide to molecular interactions. Journal of medicinal chemistry. 2010 Mar 26;53(14):5061-84.</w:t>
      </w:r>
    </w:p>
    <w:p w14:paraId="5921D112" w14:textId="77777777" w:rsidR="007425F2" w:rsidRPr="004C1017" w:rsidRDefault="007425F2" w:rsidP="007425F2">
      <w:pPr>
        <w:pStyle w:val="ListParagraph"/>
        <w:numPr>
          <w:ilvl w:val="0"/>
          <w:numId w:val="3"/>
        </w:numPr>
        <w:jc w:val="both"/>
        <w:rPr>
          <w:rFonts w:eastAsia="Times New Roman"/>
        </w:rPr>
      </w:pPr>
      <w:proofErr w:type="spellStart"/>
      <w:r w:rsidRPr="004C1017">
        <w:rPr>
          <w:rFonts w:eastAsia="Times New Roman"/>
          <w:color w:val="222222"/>
          <w:shd w:val="clear" w:color="auto" w:fill="FFFFFF"/>
        </w:rPr>
        <w:t>Boehr</w:t>
      </w:r>
      <w:proofErr w:type="spellEnd"/>
      <w:r w:rsidRPr="004C1017">
        <w:rPr>
          <w:rFonts w:eastAsia="Times New Roman"/>
          <w:color w:val="222222"/>
          <w:shd w:val="clear" w:color="auto" w:fill="FFFFFF"/>
        </w:rPr>
        <w:t xml:space="preserve"> DD, Farley AR, Wright GD, Cox JR. Analysis of the π-π stacking interactions between the aminoglycoside antibiotic kinase APH (3′)-IIIa and its nucleotide ligands. Chemistry &amp; biology. 2002 Nov 30;9(11):1209-17.</w:t>
      </w:r>
    </w:p>
    <w:p w14:paraId="015E7350" w14:textId="77777777" w:rsidR="007425F2" w:rsidRPr="004C1017" w:rsidRDefault="007425F2" w:rsidP="007425F2">
      <w:pPr>
        <w:pStyle w:val="ListParagraph"/>
        <w:numPr>
          <w:ilvl w:val="0"/>
          <w:numId w:val="3"/>
        </w:numPr>
        <w:jc w:val="both"/>
        <w:rPr>
          <w:rFonts w:eastAsia="Times New Roman"/>
        </w:rPr>
      </w:pPr>
      <w:proofErr w:type="spellStart"/>
      <w:r w:rsidRPr="004C1017">
        <w:rPr>
          <w:rFonts w:eastAsia="Times New Roman"/>
          <w:color w:val="222222"/>
          <w:shd w:val="clear" w:color="auto" w:fill="FFFFFF"/>
        </w:rPr>
        <w:t>Zavodszky</w:t>
      </w:r>
      <w:proofErr w:type="spellEnd"/>
      <w:r w:rsidRPr="004C1017">
        <w:rPr>
          <w:rFonts w:eastAsia="Times New Roman"/>
          <w:color w:val="222222"/>
          <w:shd w:val="clear" w:color="auto" w:fill="FFFFFF"/>
        </w:rPr>
        <w:t xml:space="preserve"> MI, Kuhn LA. Side</w:t>
      </w:r>
      <w:r w:rsidRPr="004C1017">
        <w:rPr>
          <w:rFonts w:eastAsia="Calibri"/>
          <w:color w:val="222222"/>
          <w:shd w:val="clear" w:color="auto" w:fill="FFFFFF"/>
        </w:rPr>
        <w:t>‐</w:t>
      </w:r>
      <w:r w:rsidRPr="004C1017">
        <w:rPr>
          <w:rFonts w:eastAsia="Times New Roman"/>
          <w:color w:val="222222"/>
          <w:shd w:val="clear" w:color="auto" w:fill="FFFFFF"/>
        </w:rPr>
        <w:t>chain flexibility in protein–ligand binding: The minimal rotation hypothesis. Protein Science. 2005 Apr 1;14(4):1104-14.</w:t>
      </w:r>
    </w:p>
    <w:p w14:paraId="1F7A7A63" w14:textId="77777777" w:rsidR="007425F2" w:rsidRPr="004C1017" w:rsidRDefault="007425F2" w:rsidP="007425F2">
      <w:pPr>
        <w:pStyle w:val="ListParagraph"/>
        <w:numPr>
          <w:ilvl w:val="0"/>
          <w:numId w:val="3"/>
        </w:numPr>
        <w:jc w:val="both"/>
        <w:rPr>
          <w:rFonts w:eastAsia="Times New Roman"/>
        </w:rPr>
      </w:pPr>
      <w:r w:rsidRPr="004C1017">
        <w:rPr>
          <w:rFonts w:eastAsia="Times New Roman"/>
          <w:color w:val="222222"/>
          <w:shd w:val="clear" w:color="auto" w:fill="FFFFFF"/>
        </w:rPr>
        <w:t xml:space="preserve">Michael A. </w:t>
      </w:r>
      <w:proofErr w:type="spellStart"/>
      <w:r w:rsidRPr="004C1017">
        <w:rPr>
          <w:rFonts w:eastAsia="Times New Roman"/>
          <w:color w:val="222222"/>
          <w:shd w:val="clear" w:color="auto" w:fill="FFFFFF"/>
        </w:rPr>
        <w:t>Ueber</w:t>
      </w:r>
      <w:proofErr w:type="spellEnd"/>
      <w:r w:rsidRPr="004C1017">
        <w:rPr>
          <w:rFonts w:eastAsia="Times New Roman"/>
          <w:color w:val="222222"/>
          <w:shd w:val="clear" w:color="auto" w:fill="FFFFFF"/>
        </w:rPr>
        <w:t xml:space="preserve"> die Addition von </w:t>
      </w:r>
      <w:proofErr w:type="spellStart"/>
      <w:r w:rsidRPr="004C1017">
        <w:rPr>
          <w:rFonts w:eastAsia="Times New Roman"/>
          <w:color w:val="222222"/>
          <w:shd w:val="clear" w:color="auto" w:fill="FFFFFF"/>
        </w:rPr>
        <w:t>Natriumacetessig</w:t>
      </w:r>
      <w:proofErr w:type="spellEnd"/>
      <w:r w:rsidRPr="004C1017">
        <w:rPr>
          <w:rFonts w:eastAsia="Calibri"/>
          <w:color w:val="222222"/>
          <w:shd w:val="clear" w:color="auto" w:fill="FFFFFF"/>
        </w:rPr>
        <w:t>‐</w:t>
      </w:r>
      <w:r w:rsidRPr="004C1017">
        <w:rPr>
          <w:rFonts w:eastAsia="Times New Roman"/>
          <w:color w:val="222222"/>
          <w:shd w:val="clear" w:color="auto" w:fill="FFFFFF"/>
        </w:rPr>
        <w:t xml:space="preserve">und </w:t>
      </w:r>
      <w:proofErr w:type="spellStart"/>
      <w:r w:rsidRPr="004C1017">
        <w:rPr>
          <w:rFonts w:eastAsia="Times New Roman"/>
          <w:color w:val="222222"/>
          <w:shd w:val="clear" w:color="auto" w:fill="FFFFFF"/>
        </w:rPr>
        <w:t>Natriummalonsäureäthern</w:t>
      </w:r>
      <w:proofErr w:type="spellEnd"/>
      <w:r w:rsidRPr="004C1017">
        <w:rPr>
          <w:rFonts w:eastAsia="Times New Roman"/>
          <w:color w:val="222222"/>
          <w:shd w:val="clear" w:color="auto" w:fill="FFFFFF"/>
        </w:rPr>
        <w:t xml:space="preserve"> </w:t>
      </w:r>
      <w:proofErr w:type="spellStart"/>
      <w:r w:rsidRPr="004C1017">
        <w:rPr>
          <w:rFonts w:eastAsia="Times New Roman"/>
          <w:color w:val="222222"/>
          <w:shd w:val="clear" w:color="auto" w:fill="FFFFFF"/>
        </w:rPr>
        <w:t>zu</w:t>
      </w:r>
      <w:proofErr w:type="spellEnd"/>
      <w:r w:rsidRPr="004C1017">
        <w:rPr>
          <w:rFonts w:eastAsia="Times New Roman"/>
          <w:color w:val="222222"/>
          <w:shd w:val="clear" w:color="auto" w:fill="FFFFFF"/>
        </w:rPr>
        <w:t xml:space="preserve"> den </w:t>
      </w:r>
      <w:proofErr w:type="spellStart"/>
      <w:r w:rsidRPr="004C1017">
        <w:rPr>
          <w:rFonts w:eastAsia="Times New Roman"/>
          <w:color w:val="222222"/>
          <w:shd w:val="clear" w:color="auto" w:fill="FFFFFF"/>
        </w:rPr>
        <w:t>Aethern</w:t>
      </w:r>
      <w:proofErr w:type="spellEnd"/>
      <w:r w:rsidRPr="004C1017">
        <w:rPr>
          <w:rFonts w:eastAsia="Times New Roman"/>
          <w:color w:val="222222"/>
          <w:shd w:val="clear" w:color="auto" w:fill="FFFFFF"/>
        </w:rPr>
        <w:t xml:space="preserve"> </w:t>
      </w:r>
      <w:proofErr w:type="spellStart"/>
      <w:r w:rsidRPr="004C1017">
        <w:rPr>
          <w:rFonts w:eastAsia="Times New Roman"/>
          <w:color w:val="222222"/>
          <w:shd w:val="clear" w:color="auto" w:fill="FFFFFF"/>
        </w:rPr>
        <w:t>ungesättigter</w:t>
      </w:r>
      <w:proofErr w:type="spellEnd"/>
      <w:r w:rsidRPr="004C1017">
        <w:rPr>
          <w:rFonts w:eastAsia="Times New Roman"/>
          <w:color w:val="222222"/>
          <w:shd w:val="clear" w:color="auto" w:fill="FFFFFF"/>
        </w:rPr>
        <w:t xml:space="preserve"> </w:t>
      </w:r>
      <w:proofErr w:type="spellStart"/>
      <w:r w:rsidRPr="004C1017">
        <w:rPr>
          <w:rFonts w:eastAsia="Times New Roman"/>
          <w:color w:val="222222"/>
          <w:shd w:val="clear" w:color="auto" w:fill="FFFFFF"/>
        </w:rPr>
        <w:t>Säuren</w:t>
      </w:r>
      <w:proofErr w:type="spellEnd"/>
      <w:r w:rsidRPr="004C1017">
        <w:rPr>
          <w:rFonts w:eastAsia="Times New Roman"/>
          <w:color w:val="222222"/>
          <w:shd w:val="clear" w:color="auto" w:fill="FFFFFF"/>
        </w:rPr>
        <w:t>. Advanced Synthesis &amp; Catalysis. 1887 Mar 21;35(1):349-56.</w:t>
      </w:r>
    </w:p>
    <w:p w14:paraId="38B5F5E4" w14:textId="77777777" w:rsidR="007425F2" w:rsidRPr="004C1017" w:rsidRDefault="007425F2" w:rsidP="007425F2">
      <w:pPr>
        <w:pStyle w:val="ListParagraph"/>
        <w:numPr>
          <w:ilvl w:val="0"/>
          <w:numId w:val="3"/>
        </w:numPr>
        <w:jc w:val="both"/>
        <w:rPr>
          <w:rFonts w:eastAsia="Times New Roman"/>
        </w:rPr>
      </w:pPr>
      <w:proofErr w:type="spellStart"/>
      <w:r w:rsidRPr="004C1017">
        <w:rPr>
          <w:rFonts w:eastAsia="Times New Roman"/>
          <w:color w:val="222222"/>
          <w:shd w:val="clear" w:color="auto" w:fill="FFFFFF"/>
        </w:rPr>
        <w:t>Brunk</w:t>
      </w:r>
      <w:proofErr w:type="spellEnd"/>
      <w:r w:rsidRPr="004C1017">
        <w:rPr>
          <w:rFonts w:eastAsia="Times New Roman"/>
          <w:color w:val="222222"/>
          <w:shd w:val="clear" w:color="auto" w:fill="FFFFFF"/>
        </w:rPr>
        <w:t xml:space="preserve"> D. Benzophenones named 2014 Contact Allergen of the Year. Dermatology News Digital Network (March 14, 2014), www. </w:t>
      </w:r>
      <w:proofErr w:type="spellStart"/>
      <w:r w:rsidRPr="004C1017">
        <w:rPr>
          <w:rFonts w:eastAsia="Times New Roman"/>
          <w:color w:val="222222"/>
          <w:shd w:val="clear" w:color="auto" w:fill="FFFFFF"/>
        </w:rPr>
        <w:t>skinandallergynews</w:t>
      </w:r>
      <w:proofErr w:type="spellEnd"/>
      <w:r w:rsidRPr="004C1017">
        <w:rPr>
          <w:rFonts w:eastAsia="Times New Roman"/>
          <w:color w:val="222222"/>
          <w:shd w:val="clear" w:color="auto" w:fill="FFFFFF"/>
        </w:rPr>
        <w:t>. com/single-view/benzophenones-named-2014-contact. 2014.</w:t>
      </w:r>
    </w:p>
    <w:p w14:paraId="37A70D93" w14:textId="77777777" w:rsidR="007425F2" w:rsidRDefault="007425F2" w:rsidP="007425F2">
      <w:pPr>
        <w:jc w:val="both"/>
      </w:pPr>
    </w:p>
    <w:p w14:paraId="685230BE" w14:textId="77777777" w:rsidR="007425F2" w:rsidRDefault="007425F2">
      <w:pPr>
        <w:rPr>
          <w:rFonts w:ascii="Times New Roman" w:eastAsia="Times New Roman" w:hAnsi="Times New Roman" w:cs="Times New Roman"/>
          <w:b/>
          <w:sz w:val="40"/>
          <w:szCs w:val="40"/>
        </w:rPr>
      </w:pPr>
    </w:p>
    <w:sectPr w:rsidR="007425F2">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272B9"/>
    <w:multiLevelType w:val="hybridMultilevel"/>
    <w:tmpl w:val="09ECE2EA"/>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D42ACA"/>
    <w:multiLevelType w:val="hybridMultilevel"/>
    <w:tmpl w:val="8AFC58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6D7757A"/>
    <w:multiLevelType w:val="multilevel"/>
    <w:tmpl w:val="1B4ED01C"/>
    <w:lvl w:ilvl="0">
      <w:start w:val="1"/>
      <w:numFmt w:val="decimal"/>
      <w:lvlText w:val="%1."/>
      <w:lvlJc w:val="left"/>
      <w:pPr>
        <w:ind w:left="1440" w:firstLine="1080"/>
      </w:pPr>
      <w:rPr>
        <w:rFonts w:ascii="Arial" w:eastAsia="Arial" w:hAnsi="Arial" w:cs="Arial"/>
        <w:b/>
        <w:u w:val="none"/>
      </w:rPr>
    </w:lvl>
    <w:lvl w:ilvl="1">
      <w:start w:val="1"/>
      <w:numFmt w:val="lowerLetter"/>
      <w:lvlText w:val="%2."/>
      <w:lvlJc w:val="left"/>
      <w:pPr>
        <w:ind w:left="2160" w:firstLine="1800"/>
      </w:pPr>
      <w:rPr>
        <w:u w:val="none"/>
      </w:rPr>
    </w:lvl>
    <w:lvl w:ilvl="2">
      <w:start w:val="1"/>
      <w:numFmt w:val="lowerRoman"/>
      <w:lvlText w:val="%3."/>
      <w:lvlJc w:val="right"/>
      <w:pPr>
        <w:ind w:left="2880" w:firstLine="2520"/>
      </w:pPr>
      <w:rPr>
        <w:u w:val="none"/>
      </w:rPr>
    </w:lvl>
    <w:lvl w:ilvl="3">
      <w:start w:val="1"/>
      <w:numFmt w:val="decimal"/>
      <w:lvlText w:val="%4."/>
      <w:lvlJc w:val="left"/>
      <w:pPr>
        <w:ind w:left="3600" w:firstLine="3240"/>
      </w:pPr>
      <w:rPr>
        <w:u w:val="none"/>
      </w:rPr>
    </w:lvl>
    <w:lvl w:ilvl="4">
      <w:start w:val="1"/>
      <w:numFmt w:val="lowerLetter"/>
      <w:lvlText w:val="%5."/>
      <w:lvlJc w:val="left"/>
      <w:pPr>
        <w:ind w:left="4320" w:firstLine="3960"/>
      </w:pPr>
      <w:rPr>
        <w:u w:val="none"/>
      </w:rPr>
    </w:lvl>
    <w:lvl w:ilvl="5">
      <w:start w:val="1"/>
      <w:numFmt w:val="lowerRoman"/>
      <w:lvlText w:val="%6."/>
      <w:lvlJc w:val="right"/>
      <w:pPr>
        <w:ind w:left="5040" w:firstLine="4680"/>
      </w:pPr>
      <w:rPr>
        <w:u w:val="none"/>
      </w:rPr>
    </w:lvl>
    <w:lvl w:ilvl="6">
      <w:start w:val="1"/>
      <w:numFmt w:val="decimal"/>
      <w:lvlText w:val="%7."/>
      <w:lvlJc w:val="left"/>
      <w:pPr>
        <w:ind w:left="5760" w:firstLine="5400"/>
      </w:pPr>
      <w:rPr>
        <w:u w:val="none"/>
      </w:rPr>
    </w:lvl>
    <w:lvl w:ilvl="7">
      <w:start w:val="1"/>
      <w:numFmt w:val="lowerLetter"/>
      <w:lvlText w:val="%8."/>
      <w:lvlJc w:val="left"/>
      <w:pPr>
        <w:ind w:left="6480" w:firstLine="6120"/>
      </w:pPr>
      <w:rPr>
        <w:u w:val="none"/>
      </w:rPr>
    </w:lvl>
    <w:lvl w:ilvl="8">
      <w:start w:val="1"/>
      <w:numFmt w:val="lowerRoman"/>
      <w:lvlText w:val="%9."/>
      <w:lvlJc w:val="right"/>
      <w:pPr>
        <w:ind w:left="7200" w:firstLine="684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C6F"/>
    <w:rsid w:val="0002399A"/>
    <w:rsid w:val="000F4F0A"/>
    <w:rsid w:val="003215C3"/>
    <w:rsid w:val="00535961"/>
    <w:rsid w:val="007425F2"/>
    <w:rsid w:val="008C3C6F"/>
    <w:rsid w:val="00D7599A"/>
    <w:rsid w:val="00EF7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F919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table" w:styleId="TableGridLight">
    <w:name w:val="Grid Table Light"/>
    <w:basedOn w:val="TableNormal"/>
    <w:uiPriority w:val="40"/>
    <w:rsid w:val="000F4F0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0F4F0A"/>
    <w:rPr>
      <w:color w:val="0000FF"/>
      <w:u w:val="single"/>
    </w:rPr>
  </w:style>
  <w:style w:type="paragraph" w:customStyle="1" w:styleId="LightGrid-Accent31">
    <w:name w:val="Light Grid - Accent 31"/>
    <w:basedOn w:val="Normal"/>
    <w:uiPriority w:val="34"/>
    <w:qFormat/>
    <w:rsid w:val="00D7599A"/>
    <w:pPr>
      <w:spacing w:line="240" w:lineRule="auto"/>
      <w:ind w:left="720"/>
      <w:contextualSpacing/>
    </w:pPr>
    <w:rPr>
      <w:rFonts w:ascii="Times New Roman" w:eastAsia="Times New Roman" w:hAnsi="Times New Roman" w:cs="Times New Roman"/>
      <w:color w:val="auto"/>
      <w:sz w:val="24"/>
      <w:szCs w:val="24"/>
    </w:rPr>
  </w:style>
  <w:style w:type="paragraph" w:styleId="ListParagraph">
    <w:name w:val="List Paragraph"/>
    <w:basedOn w:val="Normal"/>
    <w:uiPriority w:val="34"/>
    <w:qFormat/>
    <w:rsid w:val="007425F2"/>
    <w:pPr>
      <w:spacing w:line="240" w:lineRule="auto"/>
      <w:ind w:left="720"/>
      <w:contextualSpacing/>
    </w:pPr>
    <w:rPr>
      <w:rFonts w:ascii="Times New Roman" w:eastAsiaTheme="minorHAnsi" w:hAnsi="Times New Roman" w:cs="Times New Roman"/>
      <w:color w:val="auto"/>
      <w:sz w:val="24"/>
      <w:szCs w:val="24"/>
    </w:rPr>
  </w:style>
  <w:style w:type="table" w:styleId="PlainTable3">
    <w:name w:val="Plain Table 3"/>
    <w:basedOn w:val="TableNormal"/>
    <w:uiPriority w:val="43"/>
    <w:rsid w:val="007425F2"/>
    <w:pPr>
      <w:spacing w:line="240" w:lineRule="auto"/>
    </w:pPr>
    <w:rPr>
      <w:rFonts w:asciiTheme="minorHAnsi" w:eastAsiaTheme="minorHAnsi" w:hAnsiTheme="minorHAnsi" w:cstheme="minorBidi"/>
      <w:color w:val="auto"/>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067471">
      <w:bodyDiv w:val="1"/>
      <w:marLeft w:val="0"/>
      <w:marRight w:val="0"/>
      <w:marTop w:val="0"/>
      <w:marBottom w:val="0"/>
      <w:divBdr>
        <w:top w:val="none" w:sz="0" w:space="0" w:color="auto"/>
        <w:left w:val="none" w:sz="0" w:space="0" w:color="auto"/>
        <w:bottom w:val="none" w:sz="0" w:space="0" w:color="auto"/>
        <w:right w:val="none" w:sz="0" w:space="0" w:color="auto"/>
      </w:divBdr>
    </w:div>
    <w:div w:id="14135503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csb.org/pdb/home/hom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1468</Words>
  <Characters>7270</Characters>
  <Application>Microsoft Office Word</Application>
  <DocSecurity>0</DocSecurity>
  <Lines>279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Amera Al-Badry</cp:lastModifiedBy>
  <cp:revision>2</cp:revision>
  <dcterms:created xsi:type="dcterms:W3CDTF">2020-05-05T03:53:00Z</dcterms:created>
  <dcterms:modified xsi:type="dcterms:W3CDTF">2020-05-05T03:53:00Z</dcterms:modified>
</cp:coreProperties>
</file>