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8487B" w:rsidP="00A47561">
      <w:pPr>
        <w:spacing w:line="480" w:lineRule="auto"/>
        <w:rPr>
          <w:rFonts w:ascii="Times New Roman" w:hAnsi="Times New Roman" w:cs="Times New Roman"/>
          <w:sz w:val="24"/>
          <w:szCs w:val="24"/>
        </w:rPr>
      </w:pPr>
    </w:p>
    <w:p w:rsidR="0048487B" w:rsidP="00A47561">
      <w:pPr>
        <w:spacing w:line="480" w:lineRule="auto"/>
        <w:rPr>
          <w:rFonts w:ascii="Times New Roman" w:hAnsi="Times New Roman" w:cs="Times New Roman"/>
          <w:sz w:val="24"/>
          <w:szCs w:val="24"/>
        </w:rPr>
      </w:pPr>
    </w:p>
    <w:p w:rsidR="0048487B" w:rsidP="00A47561">
      <w:pPr>
        <w:spacing w:line="480" w:lineRule="auto"/>
        <w:rPr>
          <w:rFonts w:ascii="Times New Roman" w:hAnsi="Times New Roman" w:cs="Times New Roman"/>
          <w:sz w:val="24"/>
          <w:szCs w:val="24"/>
        </w:rPr>
      </w:pPr>
    </w:p>
    <w:p w:rsidR="0048487B" w:rsidP="00A47561">
      <w:pPr>
        <w:spacing w:line="480" w:lineRule="auto"/>
        <w:rPr>
          <w:rFonts w:ascii="Times New Roman" w:hAnsi="Times New Roman" w:cs="Times New Roman"/>
          <w:sz w:val="24"/>
          <w:szCs w:val="24"/>
        </w:rPr>
      </w:pPr>
    </w:p>
    <w:p w:rsidR="0048487B" w:rsidP="00A47561">
      <w:pPr>
        <w:spacing w:line="480" w:lineRule="auto"/>
        <w:rPr>
          <w:rFonts w:ascii="Times New Roman" w:hAnsi="Times New Roman" w:cs="Times New Roman"/>
          <w:sz w:val="24"/>
          <w:szCs w:val="24"/>
        </w:rPr>
      </w:pPr>
    </w:p>
    <w:p w:rsidR="0048487B" w:rsidP="00A47561">
      <w:pPr>
        <w:spacing w:line="480" w:lineRule="auto"/>
        <w:rPr>
          <w:rFonts w:ascii="Times New Roman" w:hAnsi="Times New Roman" w:cs="Times New Roman"/>
          <w:sz w:val="24"/>
          <w:szCs w:val="24"/>
        </w:rPr>
      </w:pPr>
    </w:p>
    <w:p w:rsidR="00A47561" w:rsidRPr="00A47561" w:rsidP="0048487B">
      <w:pPr>
        <w:spacing w:line="480" w:lineRule="auto"/>
        <w:jc w:val="center"/>
        <w:rPr>
          <w:rFonts w:ascii="Times New Roman" w:hAnsi="Times New Roman" w:cs="Times New Roman"/>
          <w:sz w:val="24"/>
          <w:szCs w:val="24"/>
        </w:rPr>
      </w:pPr>
      <w:r w:rsidRPr="00A47561">
        <w:rPr>
          <w:rFonts w:ascii="Times New Roman" w:hAnsi="Times New Roman" w:cs="Times New Roman"/>
          <w:sz w:val="24"/>
          <w:szCs w:val="24"/>
        </w:rPr>
        <w:t>Phases of membrane potential</w:t>
      </w:r>
    </w:p>
    <w:p w:rsidR="00A47561" w:rsidRPr="00A47561" w:rsidP="0048487B">
      <w:pPr>
        <w:spacing w:line="480" w:lineRule="auto"/>
        <w:jc w:val="center"/>
        <w:rPr>
          <w:rFonts w:ascii="Times New Roman" w:hAnsi="Times New Roman" w:cs="Times New Roman"/>
          <w:sz w:val="24"/>
          <w:szCs w:val="24"/>
        </w:rPr>
      </w:pPr>
      <w:r w:rsidRPr="00A47561">
        <w:rPr>
          <w:rFonts w:ascii="Times New Roman" w:hAnsi="Times New Roman" w:cs="Times New Roman"/>
          <w:sz w:val="24"/>
          <w:szCs w:val="24"/>
        </w:rPr>
        <w:t>Name</w:t>
      </w:r>
    </w:p>
    <w:p w:rsidR="00A47561" w:rsidRPr="00A47561" w:rsidP="0048487B">
      <w:pPr>
        <w:spacing w:line="480" w:lineRule="auto"/>
        <w:jc w:val="center"/>
        <w:rPr>
          <w:rFonts w:ascii="Times New Roman" w:hAnsi="Times New Roman" w:cs="Times New Roman"/>
          <w:sz w:val="24"/>
          <w:szCs w:val="24"/>
        </w:rPr>
      </w:pPr>
      <w:r w:rsidRPr="00A47561">
        <w:rPr>
          <w:rFonts w:ascii="Times New Roman" w:hAnsi="Times New Roman" w:cs="Times New Roman"/>
          <w:sz w:val="24"/>
          <w:szCs w:val="24"/>
        </w:rPr>
        <w:t>Institution</w:t>
      </w:r>
    </w:p>
    <w:p w:rsidR="00A47561" w:rsidRPr="00A47561" w:rsidP="0048487B">
      <w:pPr>
        <w:spacing w:line="480" w:lineRule="auto"/>
        <w:jc w:val="center"/>
        <w:rPr>
          <w:rFonts w:ascii="Times New Roman" w:hAnsi="Times New Roman" w:cs="Times New Roman"/>
          <w:sz w:val="24"/>
          <w:szCs w:val="24"/>
        </w:rPr>
      </w:pPr>
      <w:r w:rsidRPr="00A47561">
        <w:rPr>
          <w:rFonts w:ascii="Times New Roman" w:hAnsi="Times New Roman" w:cs="Times New Roman"/>
          <w:sz w:val="24"/>
          <w:szCs w:val="24"/>
        </w:rPr>
        <w:t>Course</w:t>
      </w:r>
    </w:p>
    <w:p w:rsidR="0048487B" w:rsidP="00A4756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96B20" w:rsidRPr="008A4464" w:rsidP="00A47561">
      <w:pPr>
        <w:spacing w:line="480" w:lineRule="auto"/>
        <w:rPr>
          <w:rFonts w:ascii="Times New Roman" w:hAnsi="Times New Roman" w:cs="Times New Roman"/>
          <w:i/>
          <w:sz w:val="24"/>
          <w:szCs w:val="24"/>
        </w:rPr>
      </w:pPr>
      <w:r w:rsidRPr="008A4464">
        <w:rPr>
          <w:rFonts w:ascii="Times New Roman" w:hAnsi="Times New Roman" w:cs="Times New Roman"/>
          <w:i/>
          <w:sz w:val="24"/>
          <w:szCs w:val="24"/>
        </w:rPr>
        <w:t xml:space="preserve">Take a look at the diagrams below. Please </w:t>
      </w:r>
      <w:r w:rsidRPr="008A4464" w:rsidR="001F2306">
        <w:rPr>
          <w:rFonts w:ascii="Times New Roman" w:hAnsi="Times New Roman" w:cs="Times New Roman"/>
          <w:i/>
          <w:sz w:val="24"/>
          <w:szCs w:val="24"/>
        </w:rPr>
        <w:t>describe what is happening at each point (1-6</w:t>
      </w:r>
      <w:r w:rsidRPr="008A4464" w:rsidR="00587A55">
        <w:rPr>
          <w:rFonts w:ascii="Times New Roman" w:hAnsi="Times New Roman" w:cs="Times New Roman"/>
          <w:i/>
          <w:sz w:val="24"/>
          <w:szCs w:val="24"/>
        </w:rPr>
        <w:t xml:space="preserve">) in the process. </w:t>
      </w:r>
      <w:r w:rsidRPr="008A4464" w:rsidR="00AE2EB7">
        <w:rPr>
          <w:rFonts w:ascii="Times New Roman" w:hAnsi="Times New Roman" w:cs="Times New Roman"/>
          <w:i/>
          <w:sz w:val="24"/>
          <w:szCs w:val="24"/>
        </w:rPr>
        <w:t xml:space="preserve">What is the label or name for the phase, and what is going on at that point in the action </w:t>
      </w:r>
      <w:r w:rsidRPr="008A4464" w:rsidR="00A47561">
        <w:rPr>
          <w:rFonts w:ascii="Times New Roman" w:hAnsi="Times New Roman" w:cs="Times New Roman"/>
          <w:i/>
          <w:sz w:val="24"/>
          <w:szCs w:val="24"/>
        </w:rPr>
        <w:t>potential?</w:t>
      </w:r>
      <w:r w:rsidRPr="008A4464" w:rsidR="00AE2EB7">
        <w:rPr>
          <w:rFonts w:ascii="Times New Roman" w:hAnsi="Times New Roman" w:cs="Times New Roman"/>
          <w:i/>
          <w:sz w:val="24"/>
          <w:szCs w:val="24"/>
        </w:rPr>
        <w:t xml:space="preserve"> </w:t>
      </w:r>
      <w:r w:rsidRPr="008A4464" w:rsidR="001F2306">
        <w:rPr>
          <w:rFonts w:ascii="Times New Roman" w:hAnsi="Times New Roman" w:cs="Times New Roman"/>
          <w:i/>
          <w:sz w:val="24"/>
          <w:szCs w:val="24"/>
        </w:rPr>
        <w:t xml:space="preserve">The phase begins at resting potential, and the numbers correspond to the </w:t>
      </w:r>
      <w:r w:rsidRPr="008A4464" w:rsidR="00AE2EB7">
        <w:rPr>
          <w:rFonts w:ascii="Times New Roman" w:hAnsi="Times New Roman" w:cs="Times New Roman"/>
          <w:i/>
          <w:sz w:val="24"/>
          <w:szCs w:val="24"/>
        </w:rPr>
        <w:t>different parts of the action potential</w:t>
      </w:r>
      <w:r w:rsidRPr="008A4464" w:rsidR="001F2306">
        <w:rPr>
          <w:rFonts w:ascii="Times New Roman" w:hAnsi="Times New Roman" w:cs="Times New Roman"/>
          <w:i/>
          <w:sz w:val="24"/>
          <w:szCs w:val="24"/>
        </w:rPr>
        <w:t xml:space="preserve">. </w:t>
      </w:r>
    </w:p>
    <w:p w:rsidR="00353FC2" w:rsidRPr="00A47561" w:rsidP="00A47561">
      <w:pPr>
        <w:spacing w:line="480" w:lineRule="auto"/>
        <w:rPr>
          <w:rFonts w:ascii="Times New Roman" w:hAnsi="Times New Roman" w:cs="Times New Roman"/>
          <w:sz w:val="24"/>
          <w:szCs w:val="24"/>
        </w:rPr>
      </w:pPr>
      <w:r w:rsidRPr="00A47561">
        <w:rPr>
          <w:rFonts w:ascii="Times New Roman" w:hAnsi="Times New Roman" w:cs="Times New Roman"/>
          <w:noProof/>
          <w:sz w:val="24"/>
          <w:szCs w:val="24"/>
          <w:lang w:val="x-none"/>
        </w:rPr>
        <mc:AlternateContent>
          <mc:Choice Requires="wps">
            <w:drawing>
              <wp:anchor distT="0" distB="0" distL="114300" distR="114300" simplePos="0" relativeHeight="251660288" behindDoc="0" locked="0" layoutInCell="1" allowOverlap="1">
                <wp:simplePos x="0" y="0"/>
                <wp:positionH relativeFrom="margin">
                  <wp:posOffset>3867150</wp:posOffset>
                </wp:positionH>
                <wp:positionV relativeFrom="paragraph">
                  <wp:posOffset>1096010</wp:posOffset>
                </wp:positionV>
                <wp:extent cx="1771650" cy="733425"/>
                <wp:effectExtent l="0" t="0" r="19050" b="28575"/>
                <wp:wrapNone/>
                <wp:docPr id="5" name="Rectangle 5"/>
                <wp:cNvGraphicFramePr/>
                <a:graphic xmlns:a="http://schemas.openxmlformats.org/drawingml/2006/main">
                  <a:graphicData uri="http://schemas.microsoft.com/office/word/2010/wordprocessingShape">
                    <wps:wsp xmlns:wps="http://schemas.microsoft.com/office/word/2010/wordprocessingShape">
                      <wps:cNvSpPr/>
                      <wps:spPr>
                        <a:xfrm>
                          <a:off x="0" y="0"/>
                          <a:ext cx="1771650" cy="733425"/>
                        </a:xfrm>
                        <a:prstGeom prst="rect">
                          <a:avLst/>
                        </a:prstGeom>
                      </wps:spPr>
                      <wps:style>
                        <a:lnRef idx="2">
                          <a:schemeClr val="dk1"/>
                        </a:lnRef>
                        <a:fillRef idx="1">
                          <a:schemeClr val="lt1"/>
                        </a:fillRef>
                        <a:effectRef idx="0">
                          <a:schemeClr val="dk1"/>
                        </a:effectRef>
                        <a:fontRef idx="minor">
                          <a:schemeClr val="dk1"/>
                        </a:fontRef>
                      </wps:style>
                      <wps:txbx>
                        <w:txbxContent>
                          <w:p w:rsidR="00996B20" w:rsidRPr="00996B20" w:rsidP="00996B20">
                            <w:pPr>
                              <w:jc w:val="center"/>
                              <w:rPr>
                                <w:lang w:val="en-GB"/>
                              </w:rPr>
                            </w:pPr>
                            <w:r>
                              <w:rPr>
                                <w:lang w:val="en-GB"/>
                              </w:rPr>
                              <w:t xml:space="preserve">Repolarization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1025" style="width:139.5pt;height:57.75pt;margin-top:86.3pt;margin-left:304.5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1312" fillcolor="white" strokecolor="black" strokeweight="1pt">
                <v:textbox>
                  <w:txbxContent>
                    <w:p w:rsidR="00996B20" w:rsidRPr="00996B20" w:rsidP="00996B20">
                      <w:pPr>
                        <w:jc w:val="center"/>
                        <w:rPr>
                          <w:lang w:val="en-GB"/>
                        </w:rPr>
                      </w:pPr>
                      <w:r>
                        <w:rPr>
                          <w:lang w:val="en-GB"/>
                        </w:rPr>
                        <w:t xml:space="preserve">Repolarization </w:t>
                      </w:r>
                    </w:p>
                  </w:txbxContent>
                </v:textbox>
                <w10:wrap anchorx="margin"/>
              </v:rect>
            </w:pict>
          </mc:Fallback>
        </mc:AlternateContent>
      </w:r>
      <w:r w:rsidRPr="00A47561">
        <w:rPr>
          <w:rFonts w:ascii="Times New Roman" w:hAnsi="Times New Roman" w:cs="Times New Roman"/>
          <w:noProof/>
          <w:sz w:val="24"/>
          <w:szCs w:val="24"/>
          <w:lang w:val="x-none"/>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3401060</wp:posOffset>
                </wp:positionV>
                <wp:extent cx="1628775" cy="374650"/>
                <wp:effectExtent l="0" t="0" r="28575" b="25400"/>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1628775" cy="374650"/>
                        </a:xfrm>
                        <a:prstGeom prst="rect">
                          <a:avLst/>
                        </a:prstGeom>
                      </wps:spPr>
                      <wps:style>
                        <a:lnRef idx="2">
                          <a:schemeClr val="dk1"/>
                        </a:lnRef>
                        <a:fillRef idx="1">
                          <a:schemeClr val="lt1"/>
                        </a:fillRef>
                        <a:effectRef idx="0">
                          <a:schemeClr val="dk1"/>
                        </a:effectRef>
                        <a:fontRef idx="minor">
                          <a:schemeClr val="dk1"/>
                        </a:fontRef>
                      </wps:style>
                      <wps:txbx>
                        <w:txbxContent>
                          <w:p w:rsidR="00996B20" w:rsidRPr="00996B20" w:rsidP="00996B20">
                            <w:pPr>
                              <w:jc w:val="center"/>
                              <w:rPr>
                                <w:lang w:val="en-GB"/>
                              </w:rPr>
                            </w:pPr>
                            <w:r>
                              <w:rPr>
                                <w:lang w:val="en-GB"/>
                              </w:rPr>
                              <w:t xml:space="preserve">Hyperpolarization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1026" style="width:128.25pt;height:29.5pt;margin-top:267.8pt;margin-left:77.05pt;mso-height-percent:0;mso-height-relative:margin;mso-position-horizontal:right;mso-position-horizontal-relative:margin;mso-width-percent:0;mso-width-relative:margin;mso-wrap-distance-bottom:0;mso-wrap-distance-left:9pt;mso-wrap-distance-right:9pt;mso-wrap-distance-top:0;mso-wrap-style:square;position:absolute;visibility:visible;v-text-anchor:middle;z-index:251667456" fillcolor="white" strokecolor="black" strokeweight="1pt">
                <v:textbox>
                  <w:txbxContent>
                    <w:p w:rsidR="00996B20" w:rsidRPr="00996B20" w:rsidP="00996B20">
                      <w:pPr>
                        <w:jc w:val="center"/>
                        <w:rPr>
                          <w:lang w:val="en-GB"/>
                        </w:rPr>
                      </w:pPr>
                      <w:r>
                        <w:rPr>
                          <w:lang w:val="en-GB"/>
                        </w:rPr>
                        <w:t xml:space="preserve">Hyperpolarization </w:t>
                      </w:r>
                    </w:p>
                  </w:txbxContent>
                </v:textbox>
                <w10:wrap anchorx="margin"/>
              </v:rect>
            </w:pict>
          </mc:Fallback>
        </mc:AlternateContent>
      </w:r>
      <w:r w:rsidRPr="00A47561">
        <w:rPr>
          <w:rFonts w:ascii="Times New Roman" w:hAnsi="Times New Roman" w:cs="Times New Roman"/>
          <w:noProof/>
          <w:sz w:val="24"/>
          <w:szCs w:val="24"/>
          <w:lang w:val="x-none"/>
        </w:rPr>
        <mc:AlternateContent>
          <mc:Choice Requires="wps">
            <w:drawing>
              <wp:anchor distT="0" distB="0" distL="114300" distR="114300" simplePos="0" relativeHeight="251668480" behindDoc="0" locked="0" layoutInCell="1" allowOverlap="1">
                <wp:simplePos x="0" y="0"/>
                <wp:positionH relativeFrom="margin">
                  <wp:posOffset>4800600</wp:posOffset>
                </wp:positionH>
                <wp:positionV relativeFrom="paragraph">
                  <wp:posOffset>4372610</wp:posOffset>
                </wp:positionV>
                <wp:extent cx="1600200" cy="317500"/>
                <wp:effectExtent l="0" t="0" r="19050" b="25400"/>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1600200" cy="317500"/>
                        </a:xfrm>
                        <a:prstGeom prst="rect">
                          <a:avLst/>
                        </a:prstGeom>
                      </wps:spPr>
                      <wps:style>
                        <a:lnRef idx="2">
                          <a:schemeClr val="dk1"/>
                        </a:lnRef>
                        <a:fillRef idx="1">
                          <a:schemeClr val="lt1"/>
                        </a:fillRef>
                        <a:effectRef idx="0">
                          <a:schemeClr val="dk1"/>
                        </a:effectRef>
                        <a:fontRef idx="minor">
                          <a:schemeClr val="dk1"/>
                        </a:fontRef>
                      </wps:style>
                      <wps:txbx>
                        <w:txbxContent>
                          <w:p w:rsidR="00996B20" w:rsidRPr="00996B20" w:rsidP="00996B20">
                            <w:pPr>
                              <w:jc w:val="center"/>
                              <w:rPr>
                                <w:lang w:val="en-GB"/>
                              </w:rPr>
                            </w:pPr>
                            <w:r>
                              <w:rPr>
                                <w:lang w:val="en-GB"/>
                              </w:rPr>
                              <w:t xml:space="preserve">Reset </w:t>
                            </w:r>
                            <w:r>
                              <w:rPr>
                                <w:lang w:val="en-GB"/>
                              </w:rPr>
                              <w:t>R</w:t>
                            </w:r>
                            <w:r>
                              <w:rPr>
                                <w:lang w:val="en-GB"/>
                              </w:rPr>
                              <w:t xml:space="preserve">esting </w:t>
                            </w:r>
                            <w:r>
                              <w:rPr>
                                <w:lang w:val="en-GB"/>
                              </w:rPr>
                              <w:t xml:space="preserve">potential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1027" style="width:126pt;height:25pt;margin-top:344.3pt;margin-left:378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9504" fillcolor="white" strokecolor="black" strokeweight="1pt">
                <v:textbox>
                  <w:txbxContent>
                    <w:p w:rsidR="00996B20" w:rsidRPr="00996B20" w:rsidP="00996B20">
                      <w:pPr>
                        <w:jc w:val="center"/>
                        <w:rPr>
                          <w:lang w:val="en-GB"/>
                        </w:rPr>
                      </w:pPr>
                      <w:r>
                        <w:rPr>
                          <w:lang w:val="en-GB"/>
                        </w:rPr>
                        <w:t xml:space="preserve">Reset </w:t>
                      </w:r>
                      <w:r>
                        <w:rPr>
                          <w:lang w:val="en-GB"/>
                        </w:rPr>
                        <w:t>R</w:t>
                      </w:r>
                      <w:r>
                        <w:rPr>
                          <w:lang w:val="en-GB"/>
                        </w:rPr>
                        <w:t xml:space="preserve">esting </w:t>
                      </w:r>
                      <w:r>
                        <w:rPr>
                          <w:lang w:val="en-GB"/>
                        </w:rPr>
                        <w:t xml:space="preserve">potential </w:t>
                      </w:r>
                    </w:p>
                  </w:txbxContent>
                </v:textbox>
                <w10:wrap anchorx="margin"/>
              </v:rect>
            </w:pict>
          </mc:Fallback>
        </mc:AlternateContent>
      </w:r>
      <w:r w:rsidRPr="00A47561" w:rsidR="0033735E">
        <w:rPr>
          <w:rFonts w:ascii="Times New Roman" w:hAnsi="Times New Roman" w:cs="Times New Roman"/>
          <w:noProof/>
          <w:sz w:val="24"/>
          <w:szCs w:val="24"/>
          <w:lang w:val="x-none"/>
        </w:rPr>
        <mc:AlternateContent>
          <mc:Choice Requires="wps">
            <w:drawing>
              <wp:anchor distT="0" distB="0" distL="114300" distR="114300" simplePos="0" relativeHeight="251664384" behindDoc="0" locked="0" layoutInCell="1" allowOverlap="1">
                <wp:simplePos x="0" y="0"/>
                <wp:positionH relativeFrom="column">
                  <wp:posOffset>904874</wp:posOffset>
                </wp:positionH>
                <wp:positionV relativeFrom="paragraph">
                  <wp:posOffset>2972435</wp:posOffset>
                </wp:positionV>
                <wp:extent cx="1247775" cy="657225"/>
                <wp:effectExtent l="0" t="0" r="28575" b="28575"/>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a:off x="0" y="0"/>
                          <a:ext cx="1247775" cy="657225"/>
                        </a:xfrm>
                        <a:prstGeom prst="rect">
                          <a:avLst/>
                        </a:prstGeom>
                      </wps:spPr>
                      <wps:style>
                        <a:lnRef idx="2">
                          <a:schemeClr val="dk1"/>
                        </a:lnRef>
                        <a:fillRef idx="1">
                          <a:schemeClr val="lt1"/>
                        </a:fillRef>
                        <a:effectRef idx="0">
                          <a:schemeClr val="dk1"/>
                        </a:effectRef>
                        <a:fontRef idx="minor">
                          <a:schemeClr val="dk1"/>
                        </a:fontRef>
                      </wps:style>
                      <wps:txbx>
                        <w:txbxContent>
                          <w:p w:rsidR="00236690" w:rsidRPr="00236690" w:rsidP="00236690">
                            <w:pPr>
                              <w:jc w:val="center"/>
                              <w:rPr>
                                <w:lang w:val="en-GB"/>
                              </w:rPr>
                            </w:pPr>
                            <w:r>
                              <w:rPr>
                                <w:lang w:val="en-GB"/>
                              </w:rPr>
                              <w:t xml:space="preserve">Threshold potential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7" o:spid="_x0000_s1028" style="width:98.25pt;height:51.75pt;margin-top:234.05pt;margin-left:71.25pt;mso-height-percent:0;mso-height-relative:margin;mso-width-percent:0;mso-width-relative:margin;mso-wrap-distance-bottom:0;mso-wrap-distance-left:9pt;mso-wrap-distance-right:9pt;mso-wrap-distance-top:0;mso-wrap-style:square;position:absolute;visibility:visible;v-text-anchor:middle;z-index:251665408" fillcolor="white" strokecolor="black" strokeweight="1pt">
                <v:textbox>
                  <w:txbxContent>
                    <w:p w:rsidR="00236690" w:rsidRPr="00236690" w:rsidP="00236690">
                      <w:pPr>
                        <w:jc w:val="center"/>
                        <w:rPr>
                          <w:lang w:val="en-GB"/>
                        </w:rPr>
                      </w:pPr>
                      <w:r>
                        <w:rPr>
                          <w:lang w:val="en-GB"/>
                        </w:rPr>
                        <w:t xml:space="preserve">Threshold potential  </w:t>
                      </w:r>
                    </w:p>
                  </w:txbxContent>
                </v:textbox>
              </v:rect>
            </w:pict>
          </mc:Fallback>
        </mc:AlternateContent>
      </w:r>
      <w:r w:rsidRPr="00A47561" w:rsidR="0033735E">
        <w:rPr>
          <w:rFonts w:ascii="Times New Roman" w:hAnsi="Times New Roman" w:cs="Times New Roman"/>
          <w:noProof/>
          <w:sz w:val="24"/>
          <w:szCs w:val="24"/>
          <w:lang w:val="x-none"/>
        </w:rPr>
        <mc:AlternateContent>
          <mc:Choice Requires="wps">
            <w:drawing>
              <wp:anchor distT="0" distB="0" distL="114300" distR="114300" simplePos="0" relativeHeight="251662336" behindDoc="0" locked="0" layoutInCell="1" allowOverlap="1">
                <wp:simplePos x="0" y="0"/>
                <wp:positionH relativeFrom="column">
                  <wp:posOffset>942975</wp:posOffset>
                </wp:positionH>
                <wp:positionV relativeFrom="paragraph">
                  <wp:posOffset>1781809</wp:posOffset>
                </wp:positionV>
                <wp:extent cx="1438275" cy="657225"/>
                <wp:effectExtent l="0" t="0" r="28575" b="28575"/>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1438275" cy="657225"/>
                        </a:xfrm>
                        <a:prstGeom prst="rect">
                          <a:avLst/>
                        </a:prstGeom>
                      </wps:spPr>
                      <wps:style>
                        <a:lnRef idx="2">
                          <a:schemeClr val="dk1"/>
                        </a:lnRef>
                        <a:fillRef idx="1">
                          <a:schemeClr val="lt1"/>
                        </a:fillRef>
                        <a:effectRef idx="0">
                          <a:schemeClr val="dk1"/>
                        </a:effectRef>
                        <a:fontRef idx="minor">
                          <a:schemeClr val="dk1"/>
                        </a:fontRef>
                      </wps:style>
                      <wps:txbx>
                        <w:txbxContent>
                          <w:p w:rsidR="00996B20" w:rsidRPr="00996B20" w:rsidP="00996B20">
                            <w:pPr>
                              <w:jc w:val="center"/>
                              <w:rPr>
                                <w:lang w:val="en-GB"/>
                              </w:rPr>
                            </w:pPr>
                            <w:r>
                              <w:rPr>
                                <w:lang w:val="en-GB"/>
                              </w:rPr>
                              <w:t xml:space="preserve">Depolarization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 o:spid="_x0000_s1029" style="width:113.25pt;height:51.75pt;margin-top:140.3pt;margin-left:74.25pt;mso-height-percent:0;mso-height-relative:margin;mso-width-percent:0;mso-width-relative:margin;mso-wrap-distance-bottom:0;mso-wrap-distance-left:9pt;mso-wrap-distance-right:9pt;mso-wrap-distance-top:0;mso-wrap-style:square;position:absolute;visibility:visible;v-text-anchor:middle;z-index:251663360" fillcolor="white" strokecolor="black" strokeweight="1pt">
                <v:textbox>
                  <w:txbxContent>
                    <w:p w:rsidR="00996B20" w:rsidRPr="00996B20" w:rsidP="00996B20">
                      <w:pPr>
                        <w:jc w:val="center"/>
                        <w:rPr>
                          <w:lang w:val="en-GB"/>
                        </w:rPr>
                      </w:pPr>
                      <w:r>
                        <w:rPr>
                          <w:lang w:val="en-GB"/>
                        </w:rPr>
                        <w:t xml:space="preserve">Depolarization </w:t>
                      </w:r>
                    </w:p>
                  </w:txbxContent>
                </v:textbox>
              </v:rect>
            </w:pict>
          </mc:Fallback>
        </mc:AlternateContent>
      </w:r>
      <w:r w:rsidRPr="00A47561" w:rsidR="00DB1C9B">
        <w:rPr>
          <w:rFonts w:ascii="Times New Roman" w:hAnsi="Times New Roman" w:cs="Times New Roman"/>
          <w:noProof/>
          <w:sz w:val="24"/>
          <w:szCs w:val="24"/>
          <w:lang w:val="x-none"/>
        </w:rPr>
        <mc:AlternateContent>
          <mc:Choice Requires="wps">
            <w:drawing>
              <wp:anchor distT="0" distB="0" distL="114300" distR="114300" simplePos="0" relativeHeight="251658240" behindDoc="0" locked="0" layoutInCell="1" allowOverlap="1">
                <wp:simplePos x="0" y="0"/>
                <wp:positionH relativeFrom="column">
                  <wp:posOffset>933450</wp:posOffset>
                </wp:positionH>
                <wp:positionV relativeFrom="paragraph">
                  <wp:posOffset>495935</wp:posOffset>
                </wp:positionV>
                <wp:extent cx="1533525" cy="828675"/>
                <wp:effectExtent l="0" t="0" r="28575" b="28575"/>
                <wp:wrapNone/>
                <wp:docPr id="4"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533525" cy="828675"/>
                        </a:xfrm>
                        <a:prstGeom prst="rect">
                          <a:avLst/>
                        </a:prstGeom>
                      </wps:spPr>
                      <wps:style>
                        <a:lnRef idx="2">
                          <a:schemeClr val="dk1"/>
                        </a:lnRef>
                        <a:fillRef idx="1">
                          <a:schemeClr val="lt1"/>
                        </a:fillRef>
                        <a:effectRef idx="0">
                          <a:schemeClr val="dk1"/>
                        </a:effectRef>
                        <a:fontRef idx="minor">
                          <a:schemeClr val="dk1"/>
                        </a:fontRef>
                      </wps:style>
                      <wps:txbx>
                        <w:txbxContent>
                          <w:p w:rsidR="00996B20" w:rsidRPr="00996B20" w:rsidP="00996B20">
                            <w:pPr>
                              <w:jc w:val="center"/>
                              <w:rPr>
                                <w:lang w:val="en-GB"/>
                              </w:rPr>
                            </w:pPr>
                            <w:r>
                              <w:rPr>
                                <w:lang w:val="en-GB"/>
                              </w:rPr>
                              <w:t xml:space="preserve">Peak action potential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0" style="width:120.75pt;height:65.25pt;margin-top:39.05pt;margin-left:73.5pt;mso-height-percent:0;mso-height-relative:margin;mso-width-percent:0;mso-width-relative:margin;mso-wrap-distance-bottom:0;mso-wrap-distance-left:9pt;mso-wrap-distance-right:9pt;mso-wrap-distance-top:0;mso-wrap-style:square;position:absolute;visibility:visible;v-text-anchor:middle;z-index:251659264" fillcolor="white" strokecolor="black" strokeweight="1pt">
                <v:textbox>
                  <w:txbxContent>
                    <w:p w:rsidR="00996B20" w:rsidRPr="00996B20" w:rsidP="00996B20">
                      <w:pPr>
                        <w:jc w:val="center"/>
                        <w:rPr>
                          <w:lang w:val="en-GB"/>
                        </w:rPr>
                      </w:pPr>
                      <w:r>
                        <w:rPr>
                          <w:lang w:val="en-GB"/>
                        </w:rPr>
                        <w:t xml:space="preserve">Peak action potential </w:t>
                      </w:r>
                    </w:p>
                  </w:txbxContent>
                </v:textbox>
              </v:rect>
            </w:pict>
          </mc:Fallback>
        </mc:AlternateContent>
      </w:r>
      <w:r w:rsidRPr="00A47561" w:rsidR="001F2306">
        <w:rPr>
          <w:rFonts w:ascii="Times New Roman" w:hAnsi="Times New Roman" w:cs="Times New Roman"/>
          <w:noProof/>
          <w:sz w:val="24"/>
          <w:szCs w:val="24"/>
          <w:lang w:val="x-none"/>
        </w:rPr>
        <w:drawing>
          <wp:inline distT="0" distB="0" distL="0" distR="0">
            <wp:extent cx="7146842" cy="5454015"/>
            <wp:effectExtent l="0" t="0" r="0" b="0"/>
            <wp:docPr id="1" name="Picture 1" descr="Image result for action potential neu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29702" name="Picture 1" descr="Image result for action potential neuron"/>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7208594" cy="5501140"/>
                    </a:xfrm>
                    <a:prstGeom prst="rect">
                      <a:avLst/>
                    </a:prstGeom>
                    <a:noFill/>
                    <a:ln>
                      <a:noFill/>
                    </a:ln>
                  </pic:spPr>
                </pic:pic>
              </a:graphicData>
            </a:graphic>
          </wp:inline>
        </w:drawing>
      </w:r>
    </w:p>
    <w:p w:rsidR="001F2306" w:rsidRPr="00A47561" w:rsidP="00A47561">
      <w:pPr>
        <w:spacing w:line="480" w:lineRule="auto"/>
        <w:rPr>
          <w:rFonts w:ascii="Times New Roman" w:hAnsi="Times New Roman" w:cs="Times New Roman"/>
          <w:sz w:val="24"/>
          <w:szCs w:val="24"/>
        </w:rPr>
      </w:pPr>
      <w:r w:rsidRPr="00A47561">
        <w:rPr>
          <w:rFonts w:ascii="Times New Roman" w:hAnsi="Times New Roman" w:cs="Times New Roman"/>
          <w:sz w:val="24"/>
          <w:szCs w:val="24"/>
        </w:rPr>
        <w:t>1)</w:t>
      </w:r>
      <w:r w:rsidRPr="00A47561" w:rsidR="00996B20">
        <w:rPr>
          <w:rFonts w:ascii="Times New Roman" w:hAnsi="Times New Roman" w:cs="Times New Roman"/>
          <w:sz w:val="24"/>
          <w:szCs w:val="24"/>
        </w:rPr>
        <w:t xml:space="preserve">. </w:t>
      </w:r>
      <w:r w:rsidR="008A4464">
        <w:rPr>
          <w:rFonts w:ascii="Times New Roman" w:hAnsi="Times New Roman" w:cs="Times New Roman"/>
          <w:sz w:val="24"/>
          <w:szCs w:val="24"/>
        </w:rPr>
        <w:t>T</w:t>
      </w:r>
      <w:r w:rsidRPr="00A47561" w:rsidR="00A47561">
        <w:rPr>
          <w:rFonts w:ascii="Times New Roman" w:hAnsi="Times New Roman" w:cs="Times New Roman"/>
          <w:sz w:val="24"/>
          <w:szCs w:val="24"/>
        </w:rPr>
        <w:t>his</w:t>
      </w:r>
      <w:r w:rsidRPr="00A47561" w:rsidR="00DB1C9B">
        <w:rPr>
          <w:rFonts w:ascii="Times New Roman" w:hAnsi="Times New Roman" w:cs="Times New Roman"/>
          <w:sz w:val="24"/>
          <w:szCs w:val="24"/>
        </w:rPr>
        <w:t xml:space="preserve"> is a threshold potential where depolarization of membrane potential occurs, initiating the action potential with rapid rise and fall of particular </w:t>
      </w:r>
      <w:r w:rsidRPr="00A47561" w:rsidR="007D0B97">
        <w:rPr>
          <w:rFonts w:ascii="Times New Roman" w:hAnsi="Times New Roman" w:cs="Times New Roman"/>
          <w:sz w:val="24"/>
          <w:szCs w:val="24"/>
        </w:rPr>
        <w:t xml:space="preserve">cell </w:t>
      </w:r>
      <w:r w:rsidRPr="00A47561" w:rsidR="00A47561">
        <w:rPr>
          <w:rFonts w:ascii="Times New Roman" w:hAnsi="Times New Roman" w:cs="Times New Roman"/>
          <w:sz w:val="24"/>
          <w:szCs w:val="24"/>
        </w:rPr>
        <w:t>location (</w:t>
      </w:r>
      <w:r w:rsidRPr="00A47561" w:rsidR="007D0B97">
        <w:rPr>
          <w:rFonts w:ascii="Times New Roman" w:hAnsi="Times New Roman" w:cs="Times New Roman"/>
          <w:sz w:val="24"/>
          <w:szCs w:val="24"/>
        </w:rPr>
        <w:t>Kerr</w:t>
      </w:r>
      <w:r w:rsidRPr="00A47561" w:rsidR="00A47561">
        <w:rPr>
          <w:rFonts w:ascii="Times New Roman" w:hAnsi="Times New Roman" w:cs="Times New Roman"/>
          <w:sz w:val="24"/>
          <w:szCs w:val="24"/>
        </w:rPr>
        <w:t>, 2018</w:t>
      </w:r>
      <w:r w:rsidRPr="00A47561" w:rsidR="007D0B97">
        <w:rPr>
          <w:rFonts w:ascii="Times New Roman" w:hAnsi="Times New Roman" w:cs="Times New Roman"/>
          <w:sz w:val="24"/>
          <w:szCs w:val="24"/>
        </w:rPr>
        <w:t>).</w:t>
      </w:r>
      <w:r w:rsidRPr="00A47561" w:rsidR="007D0B97">
        <w:rPr>
          <w:rFonts w:ascii="Times New Roman" w:hAnsi="Times New Roman" w:cs="Times New Roman"/>
          <w:sz w:val="24"/>
          <w:szCs w:val="24"/>
        </w:rPr>
        <w:t xml:space="preserve"> </w:t>
      </w:r>
    </w:p>
    <w:p w:rsidR="001F2306" w:rsidRPr="00A47561" w:rsidP="00A47561">
      <w:pPr>
        <w:spacing w:line="480" w:lineRule="auto"/>
        <w:rPr>
          <w:rFonts w:ascii="Times New Roman" w:hAnsi="Times New Roman" w:cs="Times New Roman"/>
          <w:sz w:val="24"/>
          <w:szCs w:val="24"/>
        </w:rPr>
      </w:pPr>
      <w:r w:rsidRPr="00A47561">
        <w:rPr>
          <w:rFonts w:ascii="Times New Roman" w:hAnsi="Times New Roman" w:cs="Times New Roman"/>
          <w:sz w:val="24"/>
          <w:szCs w:val="24"/>
        </w:rPr>
        <w:t>2)</w:t>
      </w:r>
      <w:r w:rsidRPr="00A47561" w:rsidR="00AD04BA">
        <w:rPr>
          <w:rFonts w:ascii="Times New Roman" w:hAnsi="Times New Roman" w:cs="Times New Roman"/>
          <w:sz w:val="24"/>
          <w:szCs w:val="24"/>
        </w:rPr>
        <w:t xml:space="preserve">. </w:t>
      </w:r>
      <w:r w:rsidR="008A4464">
        <w:rPr>
          <w:rFonts w:ascii="Times New Roman" w:hAnsi="Times New Roman" w:cs="Times New Roman"/>
          <w:sz w:val="24"/>
          <w:szCs w:val="24"/>
        </w:rPr>
        <w:t>T</w:t>
      </w:r>
      <w:r w:rsidRPr="00A47561" w:rsidR="00A47561">
        <w:rPr>
          <w:rFonts w:ascii="Times New Roman" w:hAnsi="Times New Roman" w:cs="Times New Roman"/>
          <w:sz w:val="24"/>
          <w:szCs w:val="24"/>
        </w:rPr>
        <w:t>his</w:t>
      </w:r>
      <w:r w:rsidRPr="00A47561" w:rsidR="00AD04BA">
        <w:rPr>
          <w:rFonts w:ascii="Times New Roman" w:hAnsi="Times New Roman" w:cs="Times New Roman"/>
          <w:sz w:val="24"/>
          <w:szCs w:val="24"/>
        </w:rPr>
        <w:t xml:space="preserve"> is depolarization where there is a quick opening of channels of voltage-gated sodium once depolarization occurs. The sodium finds its way to the axon and relatively gets electrically positive contrary to initial resting </w:t>
      </w:r>
      <w:r w:rsidRPr="00A47561" w:rsidR="00A47561">
        <w:rPr>
          <w:rFonts w:ascii="Times New Roman" w:hAnsi="Times New Roman" w:cs="Times New Roman"/>
          <w:sz w:val="24"/>
          <w:szCs w:val="24"/>
        </w:rPr>
        <w:t>potential (</w:t>
      </w:r>
      <w:r w:rsidRPr="00A47561" w:rsidR="007D0B97">
        <w:rPr>
          <w:rFonts w:ascii="Times New Roman" w:hAnsi="Times New Roman" w:cs="Times New Roman"/>
          <w:sz w:val="24"/>
          <w:szCs w:val="24"/>
        </w:rPr>
        <w:t>Kerr</w:t>
      </w:r>
      <w:r w:rsidRPr="00A47561" w:rsidR="00A47561">
        <w:rPr>
          <w:rFonts w:ascii="Times New Roman" w:hAnsi="Times New Roman" w:cs="Times New Roman"/>
          <w:sz w:val="24"/>
          <w:szCs w:val="24"/>
        </w:rPr>
        <w:t>, 2018</w:t>
      </w:r>
      <w:r w:rsidRPr="00A47561" w:rsidR="007D0B97">
        <w:rPr>
          <w:rFonts w:ascii="Times New Roman" w:hAnsi="Times New Roman" w:cs="Times New Roman"/>
          <w:sz w:val="24"/>
          <w:szCs w:val="24"/>
        </w:rPr>
        <w:t>).</w:t>
      </w:r>
    </w:p>
    <w:p w:rsidR="001F2306" w:rsidRPr="00A47561" w:rsidP="00A47561">
      <w:pPr>
        <w:spacing w:line="480" w:lineRule="auto"/>
        <w:rPr>
          <w:rFonts w:ascii="Times New Roman" w:hAnsi="Times New Roman" w:cs="Times New Roman"/>
          <w:sz w:val="24"/>
          <w:szCs w:val="24"/>
        </w:rPr>
      </w:pPr>
      <w:r w:rsidRPr="00A47561">
        <w:rPr>
          <w:rFonts w:ascii="Times New Roman" w:hAnsi="Times New Roman" w:cs="Times New Roman"/>
          <w:sz w:val="24"/>
          <w:szCs w:val="24"/>
        </w:rPr>
        <w:t>3)</w:t>
      </w:r>
      <w:r w:rsidRPr="00A47561" w:rsidR="00996B20">
        <w:rPr>
          <w:rFonts w:ascii="Times New Roman" w:hAnsi="Times New Roman" w:cs="Times New Roman"/>
          <w:sz w:val="24"/>
          <w:szCs w:val="24"/>
        </w:rPr>
        <w:t xml:space="preserve">. Peak </w:t>
      </w:r>
      <w:r w:rsidRPr="00A47561" w:rsidR="0033735E">
        <w:rPr>
          <w:rFonts w:ascii="Times New Roman" w:hAnsi="Times New Roman" w:cs="Times New Roman"/>
          <w:sz w:val="24"/>
          <w:szCs w:val="24"/>
        </w:rPr>
        <w:t xml:space="preserve">action potential- There is an opening of potassium ions channels where these ions start leaving the cell while </w:t>
      </w:r>
      <w:r w:rsidRPr="00A47561" w:rsidR="007D0B97">
        <w:rPr>
          <w:rFonts w:ascii="Times New Roman" w:hAnsi="Times New Roman" w:cs="Times New Roman"/>
          <w:sz w:val="24"/>
          <w:szCs w:val="24"/>
        </w:rPr>
        <w:t>channels for sodium ions close</w:t>
      </w:r>
      <w:r w:rsidRPr="00A47561" w:rsidR="007D0B97">
        <w:rPr>
          <w:rFonts w:ascii="Times New Roman" w:hAnsi="Times New Roman" w:cs="Times New Roman"/>
          <w:sz w:val="24"/>
          <w:szCs w:val="24"/>
        </w:rPr>
        <w:t xml:space="preserve"> (Kerr,2018).
</w:t>
      </w:r>
    </w:p>
    <w:p w:rsidR="001F2306" w:rsidRPr="00A47561" w:rsidP="00A47561">
      <w:pPr>
        <w:spacing w:line="480" w:lineRule="auto"/>
        <w:rPr>
          <w:rFonts w:ascii="Times New Roman" w:hAnsi="Times New Roman" w:cs="Times New Roman"/>
          <w:sz w:val="24"/>
          <w:szCs w:val="24"/>
        </w:rPr>
      </w:pPr>
      <w:r w:rsidRPr="00A47561">
        <w:rPr>
          <w:rFonts w:ascii="Times New Roman" w:hAnsi="Times New Roman" w:cs="Times New Roman"/>
          <w:sz w:val="24"/>
          <w:szCs w:val="24"/>
        </w:rPr>
        <w:t>4)</w:t>
      </w:r>
      <w:r w:rsidRPr="00A47561" w:rsidR="00996B20">
        <w:rPr>
          <w:rFonts w:ascii="Times New Roman" w:hAnsi="Times New Roman" w:cs="Times New Roman"/>
          <w:sz w:val="24"/>
          <w:szCs w:val="24"/>
        </w:rPr>
        <w:t xml:space="preserve">. </w:t>
      </w:r>
      <w:r w:rsidRPr="00A47561" w:rsidR="001A4CA0">
        <w:rPr>
          <w:rFonts w:ascii="Times New Roman" w:hAnsi="Times New Roman" w:cs="Times New Roman"/>
          <w:sz w:val="24"/>
          <w:szCs w:val="24"/>
        </w:rPr>
        <w:t>Depolarization</w:t>
      </w:r>
      <w:r w:rsidRPr="00A47561" w:rsidR="00996B20">
        <w:rPr>
          <w:rFonts w:ascii="Times New Roman" w:hAnsi="Times New Roman" w:cs="Times New Roman"/>
          <w:sz w:val="24"/>
          <w:szCs w:val="24"/>
        </w:rPr>
        <w:t xml:space="preserve"> </w:t>
      </w:r>
      <w:r w:rsidRPr="00A47561" w:rsidR="00BF073D">
        <w:rPr>
          <w:rFonts w:ascii="Times New Roman" w:hAnsi="Times New Roman" w:cs="Times New Roman"/>
          <w:sz w:val="24"/>
          <w:szCs w:val="24"/>
        </w:rPr>
        <w:t>– the voltage-gated channels of sodium closes shortly onc</w:t>
      </w:r>
      <w:r w:rsidRPr="00A47561" w:rsidR="00F46761">
        <w:rPr>
          <w:rFonts w:ascii="Times New Roman" w:hAnsi="Times New Roman" w:cs="Times New Roman"/>
          <w:sz w:val="24"/>
          <w:szCs w:val="24"/>
        </w:rPr>
        <w:t xml:space="preserve">e initial depolarization occurs. The channels of voltage-gated Potassium opens, which allows Potassium to efflux axon. This depolarizes the membrane </w:t>
      </w:r>
      <w:r w:rsidRPr="00A47561" w:rsidR="007D0B97">
        <w:rPr>
          <w:rFonts w:ascii="Times New Roman" w:hAnsi="Times New Roman" w:cs="Times New Roman"/>
          <w:sz w:val="24"/>
          <w:szCs w:val="24"/>
        </w:rPr>
        <w:t xml:space="preserve">making it more </w:t>
      </w:r>
      <w:r w:rsidRPr="00A47561" w:rsidR="00A47561">
        <w:rPr>
          <w:rFonts w:ascii="Times New Roman" w:hAnsi="Times New Roman" w:cs="Times New Roman"/>
          <w:sz w:val="24"/>
          <w:szCs w:val="24"/>
        </w:rPr>
        <w:t>negative (</w:t>
      </w:r>
      <w:r w:rsidRPr="00A47561" w:rsidR="007D0B97">
        <w:rPr>
          <w:rFonts w:ascii="Times New Roman" w:hAnsi="Times New Roman" w:cs="Times New Roman"/>
          <w:sz w:val="24"/>
          <w:szCs w:val="24"/>
        </w:rPr>
        <w:t>Kerr</w:t>
      </w:r>
      <w:r w:rsidRPr="00A47561" w:rsidR="00A47561">
        <w:rPr>
          <w:rFonts w:ascii="Times New Roman" w:hAnsi="Times New Roman" w:cs="Times New Roman"/>
          <w:sz w:val="24"/>
          <w:szCs w:val="24"/>
        </w:rPr>
        <w:t>, 2018</w:t>
      </w:r>
      <w:r w:rsidRPr="00A47561" w:rsidR="007D0B97">
        <w:rPr>
          <w:rFonts w:ascii="Times New Roman" w:hAnsi="Times New Roman" w:cs="Times New Roman"/>
          <w:sz w:val="24"/>
          <w:szCs w:val="24"/>
        </w:rPr>
        <w:t>).</w:t>
      </w:r>
    </w:p>
    <w:p w:rsidR="00AE2EB7" w:rsidRPr="00A47561" w:rsidP="00A47561">
      <w:pPr>
        <w:spacing w:line="480" w:lineRule="auto"/>
        <w:rPr>
          <w:rFonts w:ascii="Times New Roman" w:hAnsi="Times New Roman" w:cs="Times New Roman"/>
          <w:sz w:val="24"/>
          <w:szCs w:val="24"/>
        </w:rPr>
      </w:pPr>
      <w:r w:rsidRPr="00A47561">
        <w:rPr>
          <w:rFonts w:ascii="Times New Roman" w:hAnsi="Times New Roman" w:cs="Times New Roman"/>
          <w:sz w:val="24"/>
          <w:szCs w:val="24"/>
        </w:rPr>
        <w:t>5)</w:t>
      </w:r>
      <w:r w:rsidRPr="00A47561" w:rsidR="008172B7">
        <w:rPr>
          <w:rFonts w:ascii="Times New Roman" w:hAnsi="Times New Roman" w:cs="Times New Roman"/>
          <w:sz w:val="24"/>
          <w:szCs w:val="24"/>
        </w:rPr>
        <w:t xml:space="preserve">. </w:t>
      </w:r>
      <w:r w:rsidR="0048487B">
        <w:rPr>
          <w:rFonts w:ascii="Times New Roman" w:hAnsi="Times New Roman" w:cs="Times New Roman"/>
          <w:sz w:val="24"/>
          <w:szCs w:val="24"/>
        </w:rPr>
        <w:t xml:space="preserve">Hyperpolarization- </w:t>
      </w:r>
      <w:r w:rsidRPr="00A47561" w:rsidR="008172B7">
        <w:rPr>
          <w:rFonts w:ascii="Times New Roman" w:hAnsi="Times New Roman" w:cs="Times New Roman"/>
          <w:sz w:val="24"/>
          <w:szCs w:val="24"/>
        </w:rPr>
        <w:t xml:space="preserve">Here, Potassium is still getting out of the axon. The membrane tends to dip below normal resting potential. The channels for sodium now return to the resting state and opens again, provided that membrane potential </w:t>
      </w:r>
      <w:r w:rsidRPr="00A47561" w:rsidR="0055752F">
        <w:rPr>
          <w:rFonts w:ascii="Times New Roman" w:hAnsi="Times New Roman" w:cs="Times New Roman"/>
          <w:sz w:val="24"/>
          <w:szCs w:val="24"/>
        </w:rPr>
        <w:t>has exceeded the threshold potential</w:t>
      </w:r>
      <w:r w:rsidRPr="00A47561" w:rsidR="007D0B97">
        <w:rPr>
          <w:rFonts w:ascii="Times New Roman" w:hAnsi="Times New Roman" w:cs="Times New Roman"/>
          <w:sz w:val="24"/>
          <w:szCs w:val="24"/>
        </w:rPr>
        <w:t>(Kerr,2018).</w:t>
      </w:r>
    </w:p>
    <w:p w:rsidR="001F2306" w:rsidRPr="00A47561" w:rsidP="00A47561">
      <w:pPr>
        <w:spacing w:line="480" w:lineRule="auto"/>
        <w:rPr>
          <w:rFonts w:ascii="Times New Roman" w:hAnsi="Times New Roman" w:cs="Times New Roman"/>
          <w:sz w:val="24"/>
          <w:szCs w:val="24"/>
        </w:rPr>
      </w:pPr>
      <w:r w:rsidRPr="00A47561">
        <w:rPr>
          <w:rFonts w:ascii="Times New Roman" w:hAnsi="Times New Roman" w:cs="Times New Roman"/>
          <w:sz w:val="24"/>
          <w:szCs w:val="24"/>
        </w:rPr>
        <w:t>6)</w:t>
      </w:r>
      <w:r w:rsidRPr="00A47561" w:rsidR="003F73A1">
        <w:rPr>
          <w:rFonts w:ascii="Times New Roman" w:hAnsi="Times New Roman" w:cs="Times New Roman"/>
          <w:sz w:val="24"/>
          <w:szCs w:val="24"/>
        </w:rPr>
        <w:t xml:space="preserve">. Reset resting potential- Here, the pump for sodium-potassium and the leak channels for Potassium resets ions of both Potassium and sodium. This then re-establishes the membrane potential allowing for next action </w:t>
      </w:r>
      <w:r w:rsidRPr="00A47561" w:rsidR="00A47561">
        <w:rPr>
          <w:rFonts w:ascii="Times New Roman" w:hAnsi="Times New Roman" w:cs="Times New Roman"/>
          <w:sz w:val="24"/>
          <w:szCs w:val="24"/>
        </w:rPr>
        <w:t>potential (</w:t>
      </w:r>
      <w:r w:rsidRPr="00A47561" w:rsidR="007D0B97">
        <w:rPr>
          <w:rFonts w:ascii="Times New Roman" w:hAnsi="Times New Roman" w:cs="Times New Roman"/>
          <w:sz w:val="24"/>
          <w:szCs w:val="24"/>
        </w:rPr>
        <w:t>Kerr</w:t>
      </w:r>
      <w:r w:rsidRPr="00A47561" w:rsidR="00A47561">
        <w:rPr>
          <w:rFonts w:ascii="Times New Roman" w:hAnsi="Times New Roman" w:cs="Times New Roman"/>
          <w:sz w:val="24"/>
          <w:szCs w:val="24"/>
        </w:rPr>
        <w:t>, 2018</w:t>
      </w:r>
      <w:r w:rsidRPr="00A47561" w:rsidR="007D0B97">
        <w:rPr>
          <w:rFonts w:ascii="Times New Roman" w:hAnsi="Times New Roman" w:cs="Times New Roman"/>
          <w:sz w:val="24"/>
          <w:szCs w:val="24"/>
        </w:rPr>
        <w:t>).</w:t>
      </w:r>
    </w:p>
    <w:p w:rsidR="001F2306" w:rsidRPr="006E0C26" w:rsidP="00A47561">
      <w:pPr>
        <w:spacing w:line="480" w:lineRule="auto"/>
        <w:rPr>
          <w:rFonts w:ascii="Times New Roman" w:hAnsi="Times New Roman" w:cs="Times New Roman"/>
          <w:i/>
          <w:sz w:val="24"/>
          <w:szCs w:val="24"/>
        </w:rPr>
      </w:pPr>
      <w:bookmarkStart w:id="0" w:name="_GoBack"/>
      <w:r w:rsidRPr="006E0C26">
        <w:rPr>
          <w:rFonts w:ascii="Times New Roman" w:hAnsi="Times New Roman" w:cs="Times New Roman"/>
          <w:i/>
          <w:sz w:val="24"/>
          <w:szCs w:val="24"/>
        </w:rPr>
        <w:t>Next, when the action potential makes its way down to the synaptic terminal,</w:t>
      </w:r>
      <w:r w:rsidRPr="006E0C26" w:rsidR="0048487B">
        <w:rPr>
          <w:rFonts w:ascii="Times New Roman" w:hAnsi="Times New Roman" w:cs="Times New Roman"/>
          <w:i/>
          <w:sz w:val="24"/>
          <w:szCs w:val="24"/>
        </w:rPr>
        <w:t xml:space="preserve"> </w:t>
      </w:r>
      <w:r w:rsidRPr="006E0C26" w:rsidR="00A47561">
        <w:rPr>
          <w:rFonts w:ascii="Times New Roman" w:hAnsi="Times New Roman" w:cs="Times New Roman"/>
          <w:i/>
          <w:sz w:val="24"/>
          <w:szCs w:val="24"/>
        </w:rPr>
        <w:t>Please</w:t>
      </w:r>
      <w:r w:rsidRPr="006E0C26">
        <w:rPr>
          <w:rFonts w:ascii="Times New Roman" w:hAnsi="Times New Roman" w:cs="Times New Roman"/>
          <w:i/>
          <w:sz w:val="24"/>
          <w:szCs w:val="24"/>
        </w:rPr>
        <w:t xml:space="preserve"> point out the processes that cause the neurotransmitter to be released (what steps take place.
</w:t>
      </w:r>
    </w:p>
    <w:p w:rsidR="00353FC2" w:rsidRPr="006E0C26" w:rsidP="00A47561">
      <w:pPr>
        <w:spacing w:line="480" w:lineRule="auto"/>
        <w:rPr>
          <w:rFonts w:ascii="Times New Roman" w:hAnsi="Times New Roman" w:cs="Times New Roman"/>
          <w:i/>
          <w:sz w:val="24"/>
          <w:szCs w:val="24"/>
        </w:rPr>
      </w:pPr>
      <w:r w:rsidRPr="006E0C26">
        <w:rPr>
          <w:rFonts w:ascii="Times New Roman" w:hAnsi="Times New Roman" w:cs="Times New Roman"/>
          <w:i/>
          <w:sz w:val="24"/>
          <w:szCs w:val="24"/>
        </w:rPr>
        <w:t>Once</w:t>
      </w:r>
      <w:r w:rsidRPr="006E0C26" w:rsidR="001F2306">
        <w:rPr>
          <w:rFonts w:ascii="Times New Roman" w:hAnsi="Times New Roman" w:cs="Times New Roman"/>
          <w:i/>
          <w:sz w:val="24"/>
          <w:szCs w:val="24"/>
        </w:rPr>
        <w:t xml:space="preserve"> the action potential reaches its destination)</w:t>
      </w:r>
      <w:r w:rsidRPr="006E0C26" w:rsidR="00AE2EB7">
        <w:rPr>
          <w:rFonts w:ascii="Times New Roman" w:hAnsi="Times New Roman" w:cs="Times New Roman"/>
          <w:i/>
          <w:sz w:val="24"/>
          <w:szCs w:val="24"/>
        </w:rPr>
        <w:t>, there are three parts: what sets the process in motion, how it is released, and what happens after release (1-3)?
</w:t>
      </w:r>
    </w:p>
    <w:bookmarkEnd w:id="0"/>
    <w:p w:rsidR="008B6511" w:rsidRPr="00A47561" w:rsidP="00A47561">
      <w:pPr>
        <w:spacing w:line="480" w:lineRule="auto"/>
        <w:rPr>
          <w:rFonts w:ascii="Times New Roman" w:hAnsi="Times New Roman" w:cs="Times New Roman"/>
          <w:sz w:val="24"/>
          <w:szCs w:val="24"/>
        </w:rPr>
      </w:pPr>
      <w:r w:rsidRPr="00A47561">
        <w:rPr>
          <w:rFonts w:ascii="Times New Roman" w:hAnsi="Times New Roman" w:cs="Times New Roman"/>
          <w:noProof/>
          <w:sz w:val="24"/>
          <w:szCs w:val="24"/>
          <w:lang w:val="x-none"/>
        </w:rPr>
        <mc:AlternateContent>
          <mc:Choice Requires="wps">
            <w:drawing>
              <wp:anchor distT="0" distB="0" distL="114300" distR="114300" simplePos="0" relativeHeight="251674624" behindDoc="0" locked="0" layoutInCell="1" allowOverlap="1">
                <wp:simplePos x="0" y="0"/>
                <wp:positionH relativeFrom="column">
                  <wp:posOffset>1936750</wp:posOffset>
                </wp:positionH>
                <wp:positionV relativeFrom="paragraph">
                  <wp:posOffset>1581785</wp:posOffset>
                </wp:positionV>
                <wp:extent cx="247650" cy="241300"/>
                <wp:effectExtent l="0" t="0" r="19050" b="25400"/>
                <wp:wrapNone/>
                <wp:docPr id="16" name="Text Box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247650" cy="241300"/>
                        </a:xfrm>
                        <a:prstGeom prst="rect">
                          <a:avLst/>
                        </a:prstGeom>
                        <a:solidFill>
                          <a:schemeClr val="lt1"/>
                        </a:solidFill>
                        <a:ln w="6350">
                          <a:solidFill>
                            <a:prstClr val="black"/>
                          </a:solidFill>
                        </a:ln>
                      </wps:spPr>
                      <wps:txbx>
                        <w:txbxContent>
                          <w:p w:rsidR="008B6511">
                            <w:r>
                              <w:t>3</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31" type="#_x0000_t202" style="width:19.5pt;height:19pt;margin-top:124.55pt;margin-left:152.5pt;mso-height-percent:0;mso-height-relative:margin;mso-width-percent:0;mso-width-relative:margin;mso-wrap-distance-bottom:0;mso-wrap-distance-left:9pt;mso-wrap-distance-right:9pt;mso-wrap-distance-top:0;mso-wrap-style:square;position:absolute;visibility:visible;v-text-anchor:top;z-index:251675648" fillcolor="white" strokeweight="0.5pt">
                <v:textbox>
                  <w:txbxContent>
                    <w:p w:rsidR="008B6511">
                      <w:r>
                        <w:t>3</w:t>
                      </w:r>
                    </w:p>
                  </w:txbxContent>
                </v:textbox>
              </v:shape>
            </w:pict>
          </mc:Fallback>
        </mc:AlternateContent>
      </w:r>
      <w:r w:rsidRPr="00A47561">
        <w:rPr>
          <w:rFonts w:ascii="Times New Roman" w:hAnsi="Times New Roman" w:cs="Times New Roman"/>
          <w:noProof/>
          <w:sz w:val="24"/>
          <w:szCs w:val="24"/>
          <w:lang w:val="x-none"/>
        </w:rPr>
        <mc:AlternateContent>
          <mc:Choice Requires="wps">
            <w:drawing>
              <wp:anchor distT="0" distB="0" distL="114300" distR="114300" simplePos="0" relativeHeight="251670528" behindDoc="0" locked="0" layoutInCell="1" allowOverlap="1">
                <wp:simplePos x="0" y="0"/>
                <wp:positionH relativeFrom="column">
                  <wp:posOffset>1701800</wp:posOffset>
                </wp:positionH>
                <wp:positionV relativeFrom="paragraph">
                  <wp:posOffset>603885</wp:posOffset>
                </wp:positionV>
                <wp:extent cx="254000" cy="273050"/>
                <wp:effectExtent l="0" t="0" r="12700" b="12700"/>
                <wp:wrapNone/>
                <wp:docPr id="14" name="Text Box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254000" cy="273050"/>
                        </a:xfrm>
                        <a:prstGeom prst="rect">
                          <a:avLst/>
                        </a:prstGeom>
                        <a:solidFill>
                          <a:schemeClr val="lt1"/>
                        </a:solidFill>
                        <a:ln w="6350">
                          <a:solidFill>
                            <a:prstClr val="black"/>
                          </a:solidFill>
                        </a:ln>
                      </wps:spPr>
                      <wps:txbx>
                        <w:txbxContent>
                          <w:p w:rsidR="001F2306">
                            <w:r>
                              <w:t>1...</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4" o:spid="_x0000_s1032" type="#_x0000_t202" style="width:20pt;height:21.5pt;margin-top:47.55pt;margin-left:134pt;mso-height-percent:0;mso-height-relative:margin;mso-width-percent:0;mso-width-relative:margin;mso-wrap-distance-bottom:0;mso-wrap-distance-left:9pt;mso-wrap-distance-right:9pt;mso-wrap-distance-top:0;mso-wrap-style:square;position:absolute;visibility:visible;v-text-anchor:top;z-index:251671552" fillcolor="white" strokeweight="0.5pt">
                <v:textbox>
                  <w:txbxContent>
                    <w:p w:rsidR="001F2306">
                      <w:r>
                        <w:t>1...</w:t>
                      </w:r>
                    </w:p>
                  </w:txbxContent>
                </v:textbox>
              </v:shape>
            </w:pict>
          </mc:Fallback>
        </mc:AlternateContent>
      </w:r>
      <w:r w:rsidRPr="00A47561">
        <w:rPr>
          <w:rFonts w:ascii="Times New Roman" w:hAnsi="Times New Roman" w:cs="Times New Roman"/>
          <w:noProof/>
          <w:sz w:val="24"/>
          <w:szCs w:val="24"/>
          <w:lang w:val="x-none"/>
        </w:rPr>
        <mc:AlternateContent>
          <mc:Choice Requires="wps">
            <w:drawing>
              <wp:anchor distT="0" distB="0" distL="114300" distR="114300" simplePos="0" relativeHeight="251672576" behindDoc="0" locked="0" layoutInCell="1" allowOverlap="1">
                <wp:simplePos x="0" y="0"/>
                <wp:positionH relativeFrom="column">
                  <wp:posOffset>1339850</wp:posOffset>
                </wp:positionH>
                <wp:positionV relativeFrom="paragraph">
                  <wp:posOffset>1461135</wp:posOffset>
                </wp:positionV>
                <wp:extent cx="234950" cy="247650"/>
                <wp:effectExtent l="0" t="0" r="12700" b="19050"/>
                <wp:wrapNone/>
                <wp:docPr id="15" name="Text Box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234950" cy="247650"/>
                        </a:xfrm>
                        <a:prstGeom prst="rect">
                          <a:avLst/>
                        </a:prstGeom>
                        <a:solidFill>
                          <a:schemeClr val="lt1"/>
                        </a:solidFill>
                        <a:ln w="6350">
                          <a:solidFill>
                            <a:prstClr val="black"/>
                          </a:solidFill>
                        </a:ln>
                      </wps:spPr>
                      <wps:txbx>
                        <w:txbxContent>
                          <w:p w:rsidR="008B6511">
                            <w:r>
                              <w:t>2</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5" o:spid="_x0000_s1033" type="#_x0000_t202" style="width:18.5pt;height:19.5pt;margin-top:115.05pt;margin-left:105.5pt;mso-height-percent:0;mso-height-relative:margin;mso-width-percent:0;mso-width-relative:margin;mso-wrap-distance-bottom:0;mso-wrap-distance-left:9pt;mso-wrap-distance-right:9pt;mso-wrap-distance-top:0;mso-wrap-style:square;position:absolute;visibility:visible;v-text-anchor:top;z-index:251673600" fillcolor="white" strokeweight="0.5pt">
                <v:textbox>
                  <w:txbxContent>
                    <w:p w:rsidR="008B6511">
                      <w:r>
                        <w:t>2</w:t>
                      </w:r>
                    </w:p>
                  </w:txbxContent>
                </v:textbox>
              </v:shape>
            </w:pict>
          </mc:Fallback>
        </mc:AlternateContent>
      </w:r>
      <w:r w:rsidRPr="00A47561" w:rsidR="001F2306">
        <w:rPr>
          <w:rFonts w:ascii="Times New Roman" w:hAnsi="Times New Roman" w:cs="Times New Roman"/>
          <w:noProof/>
          <w:sz w:val="24"/>
          <w:szCs w:val="24"/>
          <w:lang w:val="x-none"/>
        </w:rPr>
        <w:drawing>
          <wp:inline distT="0" distB="0" distL="0" distR="0">
            <wp:extent cx="3243322" cy="3778250"/>
            <wp:effectExtent l="0" t="0" r="0" b="0"/>
            <wp:docPr id="12" name="Picture 12" descr="C:\Users\cathy\Pictures\My Pictures\Teaching\Neuroscience Pics\Synapse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1418" name="Picture 1" descr="C:\Users\cathy\Pictures\My Pictures\Teaching\Neuroscience Pics\Synapse Diagram.jp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43322" cy="3778250"/>
                    </a:xfrm>
                    <a:prstGeom prst="rect">
                      <a:avLst/>
                    </a:prstGeom>
                    <a:noFill/>
                    <a:ln>
                      <a:noFill/>
                    </a:ln>
                  </pic:spPr>
                </pic:pic>
              </a:graphicData>
            </a:graphic>
          </wp:inline>
        </w:drawing>
      </w:r>
    </w:p>
    <w:p w:rsidR="008B6511" w:rsidRPr="00A47561" w:rsidP="00A47561">
      <w:pPr>
        <w:tabs>
          <w:tab w:val="left" w:pos="1250"/>
        </w:tabs>
        <w:spacing w:line="480" w:lineRule="auto"/>
        <w:rPr>
          <w:rFonts w:ascii="Times New Roman" w:hAnsi="Times New Roman" w:cs="Times New Roman"/>
          <w:sz w:val="24"/>
          <w:szCs w:val="24"/>
        </w:rPr>
      </w:pPr>
      <w:r w:rsidRPr="00A47561">
        <w:rPr>
          <w:rFonts w:ascii="Times New Roman" w:hAnsi="Times New Roman" w:cs="Times New Roman"/>
          <w:sz w:val="24"/>
          <w:szCs w:val="24"/>
        </w:rPr>
        <w:t>1)</w:t>
      </w:r>
      <w:r w:rsidRPr="00A47561" w:rsidR="00E14827">
        <w:rPr>
          <w:rFonts w:ascii="Times New Roman" w:hAnsi="Times New Roman" w:cs="Times New Roman"/>
          <w:sz w:val="24"/>
          <w:szCs w:val="24"/>
        </w:rPr>
        <w:t>. Here the axon terminal is reached by action potential hence depolarizing the membrane. The sodium ions channels, which</w:t>
      </w:r>
      <w:r w:rsidRPr="00A47561" w:rsidR="0096407F">
        <w:rPr>
          <w:rFonts w:ascii="Times New Roman" w:hAnsi="Times New Roman" w:cs="Times New Roman"/>
          <w:sz w:val="24"/>
          <w:szCs w:val="24"/>
        </w:rPr>
        <w:t xml:space="preserve"> are voltage-gated, open to enter cells, further depolarizing the presynaptic </w:t>
      </w:r>
      <w:r w:rsidRPr="00A47561" w:rsidR="007D0B97">
        <w:rPr>
          <w:rFonts w:ascii="Times New Roman" w:hAnsi="Times New Roman" w:cs="Times New Roman"/>
          <w:sz w:val="24"/>
          <w:szCs w:val="24"/>
        </w:rPr>
        <w:t xml:space="preserve">membrane </w:t>
      </w:r>
      <w:r w:rsidRPr="00A47561" w:rsidR="007D0B97">
        <w:rPr>
          <w:rFonts w:ascii="Times New Roman" w:hAnsi="Times New Roman" w:cs="Times New Roman"/>
          <w:sz w:val="24"/>
          <w:szCs w:val="24"/>
        </w:rPr>
        <w:t>(Kerr</w:t>
      </w:r>
      <w:r w:rsidRPr="00A47561" w:rsidR="00A47561">
        <w:rPr>
          <w:rFonts w:ascii="Times New Roman" w:hAnsi="Times New Roman" w:cs="Times New Roman"/>
          <w:sz w:val="24"/>
          <w:szCs w:val="24"/>
        </w:rPr>
        <w:t>, 2018</w:t>
      </w:r>
      <w:r w:rsidRPr="00A47561" w:rsidR="007D0B97">
        <w:rPr>
          <w:rFonts w:ascii="Times New Roman" w:hAnsi="Times New Roman" w:cs="Times New Roman"/>
          <w:sz w:val="24"/>
          <w:szCs w:val="24"/>
        </w:rPr>
        <w:t>).</w:t>
      </w:r>
      <w:r w:rsidRPr="00A47561" w:rsidR="007D0B97">
        <w:rPr>
          <w:rFonts w:ascii="Times New Roman" w:hAnsi="Times New Roman" w:cs="Times New Roman"/>
          <w:sz w:val="24"/>
          <w:szCs w:val="24"/>
        </w:rPr>
        <w:t xml:space="preserve"> </w:t>
      </w:r>
    </w:p>
    <w:p w:rsidR="008B6511" w:rsidRPr="00A47561" w:rsidP="00A47561">
      <w:pPr>
        <w:tabs>
          <w:tab w:val="left" w:pos="1250"/>
        </w:tabs>
        <w:spacing w:line="480" w:lineRule="auto"/>
        <w:rPr>
          <w:rFonts w:ascii="Times New Roman" w:hAnsi="Times New Roman" w:cs="Times New Roman"/>
          <w:sz w:val="24"/>
          <w:szCs w:val="24"/>
        </w:rPr>
      </w:pPr>
      <w:r w:rsidRPr="00A47561">
        <w:rPr>
          <w:rFonts w:ascii="Times New Roman" w:hAnsi="Times New Roman" w:cs="Times New Roman"/>
          <w:sz w:val="24"/>
          <w:szCs w:val="24"/>
        </w:rPr>
        <w:t>2)</w:t>
      </w:r>
      <w:r w:rsidRPr="00A47561" w:rsidR="0096407F">
        <w:rPr>
          <w:rFonts w:ascii="Times New Roman" w:hAnsi="Times New Roman" w:cs="Times New Roman"/>
          <w:sz w:val="24"/>
          <w:szCs w:val="24"/>
        </w:rPr>
        <w:t xml:space="preserve">. </w:t>
      </w:r>
      <w:r w:rsidR="0048487B">
        <w:rPr>
          <w:rFonts w:ascii="Times New Roman" w:hAnsi="Times New Roman" w:cs="Times New Roman"/>
          <w:sz w:val="24"/>
          <w:szCs w:val="24"/>
        </w:rPr>
        <w:t>T</w:t>
      </w:r>
      <w:r w:rsidRPr="00A47561" w:rsidR="00A47561">
        <w:rPr>
          <w:rFonts w:ascii="Times New Roman" w:hAnsi="Times New Roman" w:cs="Times New Roman"/>
          <w:sz w:val="24"/>
          <w:szCs w:val="24"/>
        </w:rPr>
        <w:t>he</w:t>
      </w:r>
      <w:r w:rsidRPr="00A47561" w:rsidR="0096407F">
        <w:rPr>
          <w:rFonts w:ascii="Times New Roman" w:hAnsi="Times New Roman" w:cs="Times New Roman"/>
          <w:sz w:val="24"/>
          <w:szCs w:val="24"/>
        </w:rPr>
        <w:t xml:space="preserve"> calcium ion</w:t>
      </w:r>
      <w:r w:rsidRPr="00A47561" w:rsidR="0089398F">
        <w:rPr>
          <w:rFonts w:ascii="Times New Roman" w:hAnsi="Times New Roman" w:cs="Times New Roman"/>
          <w:sz w:val="24"/>
          <w:szCs w:val="24"/>
        </w:rPr>
        <w:t xml:space="preserve"> channels</w:t>
      </w:r>
      <w:r w:rsidRPr="00A47561" w:rsidR="0096407F">
        <w:rPr>
          <w:rFonts w:ascii="Times New Roman" w:hAnsi="Times New Roman" w:cs="Times New Roman"/>
          <w:sz w:val="24"/>
          <w:szCs w:val="24"/>
        </w:rPr>
        <w:t xml:space="preserve"> that are voltage-gated open in presynaptic </w:t>
      </w:r>
      <w:r w:rsidRPr="00A47561" w:rsidR="00A47561">
        <w:rPr>
          <w:rFonts w:ascii="Times New Roman" w:hAnsi="Times New Roman" w:cs="Times New Roman"/>
          <w:sz w:val="24"/>
          <w:szCs w:val="24"/>
        </w:rPr>
        <w:t>neurons to</w:t>
      </w:r>
      <w:r w:rsidRPr="00A47561" w:rsidR="0096407F">
        <w:rPr>
          <w:rFonts w:ascii="Times New Roman" w:hAnsi="Times New Roman" w:cs="Times New Roman"/>
          <w:sz w:val="24"/>
          <w:szCs w:val="24"/>
        </w:rPr>
        <w:t xml:space="preserve"> allow calcium </w:t>
      </w:r>
      <w:r w:rsidRPr="00A47561" w:rsidR="00A47561">
        <w:rPr>
          <w:rFonts w:ascii="Times New Roman" w:hAnsi="Times New Roman" w:cs="Times New Roman"/>
          <w:sz w:val="24"/>
          <w:szCs w:val="24"/>
        </w:rPr>
        <w:t>ions into</w:t>
      </w:r>
      <w:r w:rsidRPr="00A47561" w:rsidR="0096407F">
        <w:rPr>
          <w:rFonts w:ascii="Times New Roman" w:hAnsi="Times New Roman" w:cs="Times New Roman"/>
          <w:sz w:val="24"/>
          <w:szCs w:val="24"/>
        </w:rPr>
        <w:t xml:space="preserve"> presynaptic neurons with the synapse.
</w:t>
      </w:r>
    </w:p>
    <w:p w:rsidR="008B6511" w:rsidRPr="00A47561" w:rsidP="00A47561">
      <w:pPr>
        <w:tabs>
          <w:tab w:val="left" w:pos="1250"/>
        </w:tabs>
        <w:spacing w:line="480" w:lineRule="auto"/>
        <w:rPr>
          <w:rFonts w:ascii="Times New Roman" w:hAnsi="Times New Roman" w:cs="Times New Roman"/>
          <w:sz w:val="24"/>
          <w:szCs w:val="24"/>
        </w:rPr>
      </w:pPr>
      <w:r w:rsidRPr="00A47561">
        <w:rPr>
          <w:rFonts w:ascii="Times New Roman" w:hAnsi="Times New Roman" w:cs="Times New Roman"/>
          <w:sz w:val="24"/>
          <w:szCs w:val="24"/>
        </w:rPr>
        <w:t>3)</w:t>
      </w:r>
      <w:r w:rsidRPr="00A47561" w:rsidR="00A47561">
        <w:rPr>
          <w:rFonts w:ascii="Times New Roman" w:hAnsi="Times New Roman" w:cs="Times New Roman"/>
          <w:sz w:val="24"/>
          <w:szCs w:val="24"/>
        </w:rPr>
        <w:t xml:space="preserve">. </w:t>
      </w:r>
      <w:r w:rsidR="0048487B">
        <w:rPr>
          <w:rFonts w:ascii="Times New Roman" w:hAnsi="Times New Roman" w:cs="Times New Roman"/>
          <w:sz w:val="24"/>
          <w:szCs w:val="24"/>
        </w:rPr>
        <w:t>T</w:t>
      </w:r>
      <w:r w:rsidRPr="00A47561" w:rsidR="00A47561">
        <w:rPr>
          <w:rFonts w:ascii="Times New Roman" w:hAnsi="Times New Roman" w:cs="Times New Roman"/>
          <w:sz w:val="24"/>
          <w:szCs w:val="24"/>
        </w:rPr>
        <w:t>he</w:t>
      </w:r>
      <w:r w:rsidRPr="00A47561" w:rsidR="0096407F">
        <w:rPr>
          <w:rFonts w:ascii="Times New Roman" w:hAnsi="Times New Roman" w:cs="Times New Roman"/>
          <w:sz w:val="24"/>
          <w:szCs w:val="24"/>
        </w:rPr>
        <w:t xml:space="preserve"> calcium ions that enter the presynaptic neuron cell. The influx of these ions triggers synaptic vesicle, which</w:t>
      </w:r>
      <w:r w:rsidRPr="00A47561" w:rsidR="007D0B97">
        <w:rPr>
          <w:rFonts w:ascii="Times New Roman" w:hAnsi="Times New Roman" w:cs="Times New Roman"/>
          <w:sz w:val="24"/>
          <w:szCs w:val="24"/>
        </w:rPr>
        <w:t xml:space="preserve"> then releases neurotransmitters (Kerr</w:t>
      </w:r>
      <w:r w:rsidRPr="00A47561" w:rsidR="00A47561">
        <w:rPr>
          <w:rFonts w:ascii="Times New Roman" w:hAnsi="Times New Roman" w:cs="Times New Roman"/>
          <w:sz w:val="24"/>
          <w:szCs w:val="24"/>
        </w:rPr>
        <w:t>, 2018</w:t>
      </w:r>
      <w:r w:rsidRPr="00A47561" w:rsidR="007D0B97">
        <w:rPr>
          <w:rFonts w:ascii="Times New Roman" w:hAnsi="Times New Roman" w:cs="Times New Roman"/>
          <w:sz w:val="24"/>
          <w:szCs w:val="24"/>
        </w:rPr>
        <w:t>).</w:t>
      </w:r>
    </w:p>
    <w:p w:rsidR="0048487B" w:rsidP="00A47561">
      <w:pPr>
        <w:tabs>
          <w:tab w:val="left" w:pos="125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B6511" w:rsidRPr="00A47561" w:rsidP="00A47561">
      <w:pPr>
        <w:tabs>
          <w:tab w:val="left" w:pos="1250"/>
        </w:tabs>
        <w:spacing w:line="480" w:lineRule="auto"/>
        <w:jc w:val="center"/>
        <w:rPr>
          <w:rFonts w:ascii="Times New Roman" w:hAnsi="Times New Roman" w:cs="Times New Roman"/>
          <w:sz w:val="24"/>
          <w:szCs w:val="24"/>
        </w:rPr>
      </w:pPr>
      <w:r w:rsidRPr="00A47561">
        <w:rPr>
          <w:rFonts w:ascii="Times New Roman" w:hAnsi="Times New Roman" w:cs="Times New Roman"/>
          <w:sz w:val="24"/>
          <w:szCs w:val="24"/>
        </w:rPr>
        <w:t>Reference</w:t>
      </w:r>
    </w:p>
    <w:p w:rsidR="00AC6075" w:rsidRPr="00A47561" w:rsidP="00A47561">
      <w:pPr>
        <w:tabs>
          <w:tab w:val="left" w:pos="1250"/>
        </w:tabs>
        <w:spacing w:line="480" w:lineRule="auto"/>
        <w:rPr>
          <w:rFonts w:ascii="Times New Roman" w:hAnsi="Times New Roman" w:cs="Times New Roman"/>
          <w:sz w:val="24"/>
          <w:szCs w:val="24"/>
        </w:rPr>
      </w:pPr>
      <w:r w:rsidRPr="00A47561">
        <w:rPr>
          <w:rFonts w:ascii="Times New Roman" w:hAnsi="Times New Roman" w:cs="Times New Roman"/>
          <w:sz w:val="24"/>
          <w:szCs w:val="24"/>
        </w:rPr>
        <w:t>Kerr. S. (2018). Neurons and Glial Cells.</w:t>
      </w:r>
      <w:r w:rsidRPr="00A47561" w:rsidR="00C22F51">
        <w:rPr>
          <w:rFonts w:ascii="Times New Roman" w:hAnsi="Times New Roman" w:cs="Times New Roman"/>
          <w:sz w:val="24"/>
          <w:szCs w:val="24"/>
        </w:rPr>
        <w:t xml:space="preserve"> Georg</w:t>
      </w:r>
      <w:r w:rsidR="00740FD3">
        <w:rPr>
          <w:rFonts w:ascii="Times New Roman" w:hAnsi="Times New Roman" w:cs="Times New Roman"/>
          <w:sz w:val="24"/>
          <w:szCs w:val="24"/>
        </w:rPr>
        <w:t xml:space="preserve"> </w:t>
      </w:r>
      <w:r w:rsidRPr="00A47561" w:rsidR="00C22F51">
        <w:rPr>
          <w:rFonts w:ascii="Times New Roman" w:hAnsi="Times New Roman" w:cs="Times New Roman"/>
          <w:sz w:val="24"/>
          <w:szCs w:val="24"/>
        </w:rPr>
        <w:t xml:space="preserve"> Teach Biological Sciences.</w:t>
      </w:r>
    </w:p>
    <w:sectPr w:rsidSect="00A47561">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17704013"/>
      <w:docPartObj>
        <w:docPartGallery w:val="Page Numbers (Top of Page)"/>
        <w:docPartUnique/>
      </w:docPartObj>
    </w:sdtPr>
    <w:sdtEndPr>
      <w:rPr>
        <w:noProof/>
      </w:rPr>
    </w:sdtEndPr>
    <w:sdtContent>
      <w:p w:rsidR="00A47561" w:rsidRPr="00A47561" w:rsidP="00A47561">
        <w:pPr>
          <w:spacing w:line="480" w:lineRule="auto"/>
          <w:rPr>
            <w:rFonts w:ascii="Times New Roman" w:hAnsi="Times New Roman" w:cs="Times New Roman"/>
            <w:sz w:val="24"/>
            <w:szCs w:val="24"/>
          </w:rPr>
        </w:pPr>
        <w:r w:rsidRPr="00A47561">
          <w:rPr>
            <w:rFonts w:ascii="Times New Roman" w:hAnsi="Times New Roman" w:cs="Times New Roman"/>
            <w:sz w:val="24"/>
            <w:szCs w:val="24"/>
          </w:rPr>
          <w:t xml:space="preserve">PHASES OF MEMBRANE POTENTIAL </w:t>
        </w:r>
        <w:r>
          <w:rPr>
            <w:rFonts w:ascii="Times New Roman" w:hAnsi="Times New Roman" w:cs="Times New Roman"/>
            <w:sz w:val="24"/>
            <w:szCs w:val="24"/>
          </w:rPr>
          <w:t xml:space="preserve">                                                                                    </w:t>
        </w:r>
        <w:r w:rsidRPr="00A47561">
          <w:rPr>
            <w:rFonts w:ascii="Times New Roman" w:hAnsi="Times New Roman" w:cs="Times New Roman"/>
            <w:sz w:val="24"/>
            <w:szCs w:val="24"/>
          </w:rPr>
          <w:fldChar w:fldCharType="begin"/>
        </w:r>
        <w:r w:rsidRPr="00A47561">
          <w:rPr>
            <w:rFonts w:ascii="Times New Roman" w:hAnsi="Times New Roman" w:cs="Times New Roman"/>
            <w:sz w:val="24"/>
            <w:szCs w:val="24"/>
          </w:rPr>
          <w:instrText xml:space="preserve"> PAGE   \* MERGEFORMAT </w:instrText>
        </w:r>
        <w:r w:rsidRPr="00A47561">
          <w:rPr>
            <w:rFonts w:ascii="Times New Roman" w:hAnsi="Times New Roman" w:cs="Times New Roman"/>
            <w:sz w:val="24"/>
            <w:szCs w:val="24"/>
          </w:rPr>
          <w:fldChar w:fldCharType="separate"/>
        </w:r>
        <w:r w:rsidR="006E0C26">
          <w:rPr>
            <w:rFonts w:ascii="Times New Roman" w:hAnsi="Times New Roman" w:cs="Times New Roman"/>
            <w:noProof/>
            <w:sz w:val="24"/>
            <w:szCs w:val="24"/>
          </w:rPr>
          <w:t>5</w:t>
        </w:r>
        <w:r w:rsidRPr="00A4756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561" w:rsidRPr="00A47561" w:rsidP="00A47561">
    <w:pPr>
      <w:rPr>
        <w:rFonts w:ascii="Times New Roman" w:hAnsi="Times New Roman" w:cs="Times New Roman"/>
        <w:sz w:val="24"/>
        <w:szCs w:val="24"/>
      </w:rPr>
    </w:pPr>
    <w:r w:rsidRPr="00A47561">
      <w:rPr>
        <w:rFonts w:ascii="Times New Roman" w:hAnsi="Times New Roman" w:cs="Times New Roman"/>
        <w:sz w:val="24"/>
        <w:szCs w:val="24"/>
        <w:lang w:val="en-GB"/>
      </w:rPr>
      <w:t>Running Head:</w:t>
    </w:r>
    <w:r w:rsidRPr="00A47561">
      <w:rPr>
        <w:rFonts w:ascii="Times New Roman" w:hAnsi="Times New Roman" w:cs="Times New Roman"/>
        <w:sz w:val="24"/>
        <w:szCs w:val="24"/>
      </w:rPr>
      <w:t xml:space="preserve"> </w:t>
    </w:r>
    <w:r w:rsidRPr="00A47561">
      <w:rPr>
        <w:rFonts w:ascii="Times New Roman" w:hAnsi="Times New Roman" w:cs="Times New Roman"/>
        <w:sz w:val="24"/>
        <w:szCs w:val="24"/>
      </w:rPr>
      <w:t xml:space="preserve">PHASES OF MEMBRANE POTENTIAL </w:t>
    </w:r>
    <w:r>
      <w:rPr>
        <w:rFonts w:ascii="Times New Roman" w:hAnsi="Times New Roman" w:cs="Times New Roman"/>
        <w:sz w:val="24"/>
        <w:szCs w:val="24"/>
      </w:rPr>
      <w:t xml:space="preserve">                    </w:t>
    </w:r>
    <w:r w:rsidRPr="00A4756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FC2"/>
    <w:rsid w:val="001A4CA0"/>
    <w:rsid w:val="001F2306"/>
    <w:rsid w:val="00236690"/>
    <w:rsid w:val="0033735E"/>
    <w:rsid w:val="00353FC2"/>
    <w:rsid w:val="003B6016"/>
    <w:rsid w:val="003F73A1"/>
    <w:rsid w:val="0048487B"/>
    <w:rsid w:val="00521DDF"/>
    <w:rsid w:val="0055752F"/>
    <w:rsid w:val="00587A55"/>
    <w:rsid w:val="00603DFE"/>
    <w:rsid w:val="006E0C26"/>
    <w:rsid w:val="00740FD3"/>
    <w:rsid w:val="007D0B97"/>
    <w:rsid w:val="008172B7"/>
    <w:rsid w:val="0089398F"/>
    <w:rsid w:val="008A4464"/>
    <w:rsid w:val="008B6511"/>
    <w:rsid w:val="0096407F"/>
    <w:rsid w:val="00996B20"/>
    <w:rsid w:val="00A4202F"/>
    <w:rsid w:val="00A47561"/>
    <w:rsid w:val="00AC6075"/>
    <w:rsid w:val="00AD04BA"/>
    <w:rsid w:val="00AE2EB7"/>
    <w:rsid w:val="00B25A34"/>
    <w:rsid w:val="00BF073D"/>
    <w:rsid w:val="00C17559"/>
    <w:rsid w:val="00C22F51"/>
    <w:rsid w:val="00DB1C9B"/>
    <w:rsid w:val="00E14827"/>
    <w:rsid w:val="00F46761"/>
    <w:rsid w:val="00F848AD"/>
    <w:rsid w:val="00FD37A8"/>
    <w:rsid w:val="00FF7AF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0D79EAA-EEC3-446E-9AF7-377A3FC34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827"/>
    <w:pPr>
      <w:ind w:left="720"/>
      <w:contextualSpacing/>
    </w:pPr>
  </w:style>
  <w:style w:type="paragraph" w:styleId="Header">
    <w:name w:val="header"/>
    <w:basedOn w:val="Normal"/>
    <w:link w:val="HeaderChar"/>
    <w:uiPriority w:val="99"/>
    <w:unhideWhenUsed/>
    <w:rsid w:val="00A47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7561"/>
  </w:style>
  <w:style w:type="paragraph" w:styleId="Footer">
    <w:name w:val="footer"/>
    <w:basedOn w:val="Normal"/>
    <w:link w:val="FooterChar"/>
    <w:uiPriority w:val="99"/>
    <w:unhideWhenUsed/>
    <w:rsid w:val="00A47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7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972</TotalTime>
  <Pages>5</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Horowitz</dc:creator>
  <cp:lastModifiedBy>hp</cp:lastModifiedBy>
  <cp:revision>25</cp:revision>
  <dcterms:created xsi:type="dcterms:W3CDTF">2016-10-26T05:10:00Z</dcterms:created>
  <dcterms:modified xsi:type="dcterms:W3CDTF">2020-07-30T21:55:00Z</dcterms:modified>
</cp:coreProperties>
</file>