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Supplemental Nutrition Assistance Program (SNAP)</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SNAP budget</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The amount of money I will gain per week based on the low-cost plan is $57.70. (USDA, 2020).</w:t>
      </w:r>
      <w:r>
        <w:rPr>
          <w:rFonts w:ascii="Times New Roman" w:cs="Times New Roman" w:hAnsi="Times New Roman"/>
          <w:sz w:val="24"/>
          <w:szCs w:val="24"/>
        </w:rPr>
        <w:t xml:space="preserve">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(2). Food stamps</w:t>
      </w:r>
      <w:r>
        <w:rPr>
          <w:rFonts w:ascii="Times New Roman" w:cs="Times New Roman" w:hAnsi="Times New Roman"/>
          <w:sz w:val="24"/>
          <w:szCs w:val="24"/>
        </w:rPr>
        <w:t xml:space="preserve"> can be applied at the current state where an individual resides</w:t>
      </w:r>
      <w:r>
        <w:rPr>
          <w:rFonts w:ascii="Times New Roman" w:cs="Times New Roman" w:hAnsi="Times New Roman"/>
          <w:sz w:val="24"/>
          <w:szCs w:val="24"/>
        </w:rPr>
        <w:t xml:space="preserve"> due to difference in application process and forms. </w:t>
      </w:r>
      <w:r>
        <w:rPr>
          <w:rFonts w:ascii="Times New Roman" w:cs="Times New Roman" w:hAnsi="Times New Roman"/>
          <w:sz w:val="24"/>
          <w:szCs w:val="24"/>
        </w:rPr>
        <w:t xml:space="preserve">State agencies can be conducted by visiting SNAP offices or the agency’s website. </w:t>
      </w:r>
      <w:r>
        <w:rPr>
          <w:rFonts w:ascii="Times New Roman" w:cs="Times New Roman" w:hAnsi="Times New Roman"/>
          <w:sz w:val="24"/>
          <w:szCs w:val="24"/>
        </w:rPr>
        <w:t xml:space="preserve">An electronic benefit transfer EBT card is used to pay for groceries when checking out of the store. A use is required to swipe the card to a card reader, enter pin number and the amount is automatically deducted.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(3). Items that I can purchase using food stamps include diary products, breads and cereals, fruits and vegetables, seeds that can be used to produce household food, and non-alcoholic beverages (USDA, </w:t>
      </w:r>
      <w:r>
        <w:rPr>
          <w:rFonts w:ascii="Times New Roman" w:cs="Times New Roman" w:hAnsi="Times New Roman"/>
          <w:sz w:val="24"/>
          <w:szCs w:val="24"/>
        </w:rPr>
        <w:t>n.d</w:t>
      </w:r>
      <w:r>
        <w:rPr>
          <w:rFonts w:ascii="Times New Roman" w:cs="Times New Roman" w:hAnsi="Times New Roman"/>
          <w:sz w:val="24"/>
          <w:szCs w:val="24"/>
        </w:rPr>
        <w:t xml:space="preserve">).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(4). Things I cannot purchase using food stamps can include live animals, hygiene items, alcoholic drinks, and medicine.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(5). If I run out of money, I can get free food </w:t>
      </w:r>
      <w:r>
        <w:rPr>
          <w:rFonts w:ascii="Times New Roman" w:cs="Times New Roman" w:hAnsi="Times New Roman"/>
          <w:sz w:val="24"/>
          <w:szCs w:val="24"/>
        </w:rPr>
        <w:t xml:space="preserve">by calling the USDA National Hunger Hotline at 1-866-3-HUNGRY (1-866-348-6479).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(6). Some of the illegal activities people do with their food stamps are selling food stamp benefits for drugs and weapons.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One day’s menu on budget of $</w:t>
      </w:r>
      <w:r>
        <w:rPr>
          <w:rFonts w:ascii="Times New Roman" w:cs="Times New Roman" w:hAnsi="Times New Roman"/>
          <w:sz w:val="24"/>
          <w:szCs w:val="24"/>
        </w:rPr>
        <w:t>10</w:t>
      </w:r>
    </w:p>
    <w:tbl>
      <w:tblPr>
        <w:tblStyle w:val="style154"/>
        <w:tblW w:w="0" w:type="auto"/>
        <w:tblInd w:w="720" w:type="dxa"/>
        <w:tblLook w:val="04A0" w:firstRow="1" w:lastRow="0" w:firstColumn="1" w:lastColumn="0" w:noHBand="0" w:noVBand="1"/>
      </w:tblPr>
      <w:tblGrid>
        <w:gridCol w:w="1858"/>
        <w:gridCol w:w="1581"/>
        <w:gridCol w:w="2226"/>
        <w:gridCol w:w="1275"/>
        <w:gridCol w:w="1690"/>
      </w:tblGrid>
      <w:tr>
        <w:trPr/>
        <w:tc>
          <w:tcPr>
            <w:tcW w:w="1858"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Friday </w:t>
            </w:r>
          </w:p>
        </w:tc>
        <w:tc>
          <w:tcPr>
            <w:tcW w:w="1581"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Time</w:t>
            </w:r>
          </w:p>
        </w:tc>
        <w:tc>
          <w:tcPr>
            <w:tcW w:w="2226"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Food </w:t>
            </w:r>
          </w:p>
        </w:tc>
        <w:tc>
          <w:tcPr>
            <w:tcW w:w="1275"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Portion </w:t>
            </w:r>
          </w:p>
        </w:tc>
        <w:tc>
          <w:tcPr>
            <w:tcW w:w="1690"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Cost ($)</w:t>
            </w:r>
          </w:p>
        </w:tc>
      </w:tr>
      <w:tr>
        <w:tblPrEx/>
        <w:trPr/>
        <w:tc>
          <w:tcPr>
            <w:tcW w:w="1858"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 xml:space="preserve">Breakfast </w:t>
            </w:r>
          </w:p>
        </w:tc>
        <w:tc>
          <w:tcPr>
            <w:tcW w:w="1581"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8:00 am </w:t>
            </w:r>
          </w:p>
        </w:tc>
        <w:tc>
          <w:tcPr>
            <w:tcW w:w="2226"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Low fat milk</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Fried eggs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Vegetable smoothie </w:t>
            </w:r>
          </w:p>
          <w:p>
            <w:pPr>
              <w:pStyle w:val="style179"/>
              <w:spacing w:lineRule="auto" w:line="480"/>
              <w:ind w:left="0"/>
              <w:rPr>
                <w:rFonts w:ascii="Times New Roman" w:cs="Times New Roman" w:hAnsi="Times New Roman"/>
                <w:sz w:val="24"/>
                <w:szCs w:val="24"/>
              </w:rPr>
            </w:pPr>
          </w:p>
        </w:tc>
        <w:tc>
          <w:tcPr>
            <w:tcW w:w="1275"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1 cup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2</w:t>
            </w:r>
            <w:r>
              <w:rPr>
                <w:rFonts w:ascii="Times New Roman" w:cs="Times New Roman" w:hAnsi="Times New Roman"/>
                <w:sz w:val="24"/>
                <w:szCs w:val="24"/>
              </w:rPr>
              <w:br/>
            </w:r>
            <w:r>
              <w:rPr>
                <w:rFonts w:ascii="Times New Roman" w:cs="Times New Roman" w:hAnsi="Times New Roman"/>
                <w:sz w:val="24"/>
                <w:szCs w:val="24"/>
              </w:rPr>
              <w:t xml:space="preserve">1 glass </w:t>
            </w:r>
          </w:p>
        </w:tc>
        <w:tc>
          <w:tcPr>
            <w:tcW w:w="1690"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0.2</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0.3</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2.89</w:t>
            </w:r>
          </w:p>
        </w:tc>
      </w:tr>
      <w:tr>
        <w:tblPrEx/>
        <w:trPr/>
        <w:tc>
          <w:tcPr>
            <w:tcW w:w="1858" w:type="dxa"/>
            <w:tcBorders/>
          </w:tcPr>
          <w:p>
            <w:pPr>
              <w:pStyle w:val="style179"/>
              <w:spacing w:lineRule="auto" w:line="480"/>
              <w:ind w:left="0"/>
              <w:rPr>
                <w:rFonts w:ascii="Times New Roman" w:cs="Times New Roman" w:hAnsi="Times New Roman"/>
                <w:sz w:val="24"/>
                <w:szCs w:val="24"/>
              </w:rPr>
            </w:pPr>
          </w:p>
        </w:tc>
        <w:tc>
          <w:tcPr>
            <w:tcW w:w="1581"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11:00 am </w:t>
            </w:r>
          </w:p>
        </w:tc>
        <w:tc>
          <w:tcPr>
            <w:tcW w:w="2226"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Water </w:t>
            </w:r>
          </w:p>
        </w:tc>
        <w:tc>
          <w:tcPr>
            <w:tcW w:w="1275"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500 ml</w:t>
            </w:r>
          </w:p>
        </w:tc>
        <w:tc>
          <w:tcPr>
            <w:tcW w:w="1690"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0.19</w:t>
            </w:r>
          </w:p>
        </w:tc>
      </w:tr>
      <w:tr>
        <w:tblPrEx/>
        <w:trPr/>
        <w:tc>
          <w:tcPr>
            <w:tcW w:w="1858"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Lunch </w:t>
            </w:r>
          </w:p>
        </w:tc>
        <w:tc>
          <w:tcPr>
            <w:tcW w:w="1581"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1:30 pm</w:t>
            </w:r>
          </w:p>
        </w:tc>
        <w:tc>
          <w:tcPr>
            <w:tcW w:w="2226"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Grilled chicken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White rice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Lentils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Spinach</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water </w:t>
            </w:r>
          </w:p>
        </w:tc>
        <w:tc>
          <w:tcPr>
            <w:tcW w:w="1275"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3 Oz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½ cup</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½ cup</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1 cup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500 ml</w:t>
            </w:r>
          </w:p>
        </w:tc>
        <w:tc>
          <w:tcPr>
            <w:tcW w:w="1690"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0.89</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0.2</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0.3</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0.5</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0.19</w:t>
            </w:r>
          </w:p>
        </w:tc>
      </w:tr>
      <w:tr>
        <w:tblPrEx/>
        <w:trPr/>
        <w:tc>
          <w:tcPr>
            <w:tcW w:w="1858"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Dinner </w:t>
            </w:r>
          </w:p>
        </w:tc>
        <w:tc>
          <w:tcPr>
            <w:tcW w:w="1581"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7:00 pm</w:t>
            </w:r>
          </w:p>
        </w:tc>
        <w:tc>
          <w:tcPr>
            <w:tcW w:w="2226"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Ground turkey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Mashed potatoes</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Salad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water</w:t>
            </w:r>
          </w:p>
        </w:tc>
        <w:tc>
          <w:tcPr>
            <w:tcW w:w="1275"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2 Oz</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1 cup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1 bowl </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500 ml</w:t>
            </w:r>
          </w:p>
        </w:tc>
        <w:tc>
          <w:tcPr>
            <w:tcW w:w="1690"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0.19</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0.22</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0.4</w:t>
            </w:r>
          </w:p>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0.19</w:t>
            </w:r>
          </w:p>
        </w:tc>
      </w:tr>
      <w:tr>
        <w:tblPrEx/>
        <w:trPr/>
        <w:tc>
          <w:tcPr>
            <w:tcW w:w="1858" w:type="dxa"/>
            <w:tcBorders/>
          </w:tcPr>
          <w:p>
            <w:pPr>
              <w:pStyle w:val="style179"/>
              <w:spacing w:lineRule="auto" w:line="480"/>
              <w:ind w:left="0"/>
              <w:rPr>
                <w:rFonts w:ascii="Times New Roman" w:cs="Times New Roman" w:hAnsi="Times New Roman"/>
                <w:sz w:val="24"/>
                <w:szCs w:val="24"/>
              </w:rPr>
            </w:pPr>
          </w:p>
        </w:tc>
        <w:tc>
          <w:tcPr>
            <w:tcW w:w="1581" w:type="dxa"/>
            <w:tcBorders/>
          </w:tcPr>
          <w:p>
            <w:pPr>
              <w:pStyle w:val="style179"/>
              <w:spacing w:lineRule="auto" w:line="480"/>
              <w:ind w:left="0"/>
              <w:rPr>
                <w:rFonts w:ascii="Times New Roman" w:cs="Times New Roman" w:hAnsi="Times New Roman"/>
                <w:sz w:val="24"/>
                <w:szCs w:val="24"/>
              </w:rPr>
            </w:pPr>
          </w:p>
        </w:tc>
        <w:tc>
          <w:tcPr>
            <w:tcW w:w="2226"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Yogurt </w:t>
            </w:r>
          </w:p>
        </w:tc>
        <w:tc>
          <w:tcPr>
            <w:tcW w:w="1275"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500 ml</w:t>
            </w:r>
          </w:p>
        </w:tc>
        <w:tc>
          <w:tcPr>
            <w:tcW w:w="1690"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2.33</w:t>
            </w:r>
          </w:p>
        </w:tc>
      </w:tr>
      <w:tr>
        <w:tblPrEx/>
        <w:trPr/>
        <w:tc>
          <w:tcPr>
            <w:tcW w:w="1858" w:type="dxa"/>
            <w:tcBorders/>
          </w:tcPr>
          <w:p>
            <w:pPr>
              <w:pStyle w:val="style179"/>
              <w:spacing w:lineRule="auto" w:line="480"/>
              <w:ind w:left="0"/>
              <w:rPr>
                <w:rFonts w:ascii="Times New Roman" w:cs="Times New Roman" w:hAnsi="Times New Roman"/>
                <w:sz w:val="24"/>
                <w:szCs w:val="24"/>
              </w:rPr>
            </w:pPr>
          </w:p>
        </w:tc>
        <w:tc>
          <w:tcPr>
            <w:tcW w:w="1581" w:type="dxa"/>
            <w:tcBorders/>
          </w:tcPr>
          <w:p>
            <w:pPr>
              <w:pStyle w:val="style179"/>
              <w:spacing w:lineRule="auto" w:line="480"/>
              <w:ind w:left="0"/>
              <w:rPr>
                <w:rFonts w:ascii="Times New Roman" w:cs="Times New Roman" w:hAnsi="Times New Roman"/>
                <w:sz w:val="24"/>
                <w:szCs w:val="24"/>
              </w:rPr>
            </w:pPr>
          </w:p>
        </w:tc>
        <w:tc>
          <w:tcPr>
            <w:tcW w:w="2226" w:type="dxa"/>
            <w:tcBorders/>
          </w:tcPr>
          <w:p>
            <w:pPr>
              <w:pStyle w:val="style179"/>
              <w:spacing w:lineRule="auto" w:line="480"/>
              <w:ind w:left="0"/>
              <w:rPr>
                <w:rFonts w:ascii="Times New Roman" w:cs="Times New Roman" w:hAnsi="Times New Roman"/>
                <w:sz w:val="24"/>
                <w:szCs w:val="24"/>
              </w:rPr>
            </w:pPr>
          </w:p>
        </w:tc>
        <w:tc>
          <w:tcPr>
            <w:tcW w:w="1275" w:type="dxa"/>
            <w:tcBorders/>
          </w:tcPr>
          <w:p>
            <w:pPr>
              <w:pStyle w:val="style179"/>
              <w:spacing w:lineRule="auto" w:line="480"/>
              <w:ind w:left="0"/>
              <w:rPr>
                <w:rFonts w:ascii="Times New Roman" w:cs="Times New Roman" w:hAnsi="Times New Roman"/>
                <w:sz w:val="24"/>
                <w:szCs w:val="24"/>
              </w:rPr>
            </w:pPr>
          </w:p>
        </w:tc>
        <w:tc>
          <w:tcPr>
            <w:tcW w:w="1690" w:type="dxa"/>
            <w:tcBorders/>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$8.99</w:t>
            </w:r>
          </w:p>
        </w:tc>
      </w:tr>
    </w:tbl>
    <w:p>
      <w:pPr>
        <w:pStyle w:val="style179"/>
        <w:spacing w:lineRule="auto" w:line="480"/>
        <w:rPr>
          <w:rFonts w:ascii="Times New Roman" w:cs="Times New Roman" w:hAnsi="Times New Roman"/>
          <w:sz w:val="24"/>
          <w:szCs w:val="24"/>
        </w:rPr>
      </w:pP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Diet analysis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Recognizing the needs of others.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 xml:space="preserve">WIC is a special program designed to address nutritional needs of women, infants, and children (USDA, </w:t>
      </w:r>
      <w:r>
        <w:rPr>
          <w:rFonts w:ascii="Times New Roman" w:cs="Times New Roman" w:hAnsi="Times New Roman"/>
          <w:sz w:val="24"/>
          <w:szCs w:val="24"/>
        </w:rPr>
        <w:t>n.d</w:t>
      </w:r>
      <w:r>
        <w:rPr>
          <w:rFonts w:ascii="Times New Roman" w:cs="Times New Roman" w:hAnsi="Times New Roman"/>
          <w:sz w:val="24"/>
          <w:szCs w:val="24"/>
        </w:rPr>
        <w:t xml:space="preserve">). WIC offers different services to women, infants, and children, including provision of different food packages (foods for infants, foods for children and women), breastfeeding promotion and support, quality nutrition services, immunization screening, and referral services (USDA, </w:t>
      </w:r>
      <w:r>
        <w:rPr>
          <w:rFonts w:ascii="Times New Roman" w:cs="Times New Roman" w:hAnsi="Times New Roman"/>
          <w:sz w:val="24"/>
          <w:szCs w:val="24"/>
        </w:rPr>
        <w:t>n.d</w:t>
      </w:r>
      <w:r>
        <w:rPr>
          <w:rFonts w:ascii="Times New Roman" w:cs="Times New Roman" w:hAnsi="Times New Roman"/>
          <w:sz w:val="24"/>
          <w:szCs w:val="24"/>
        </w:rPr>
        <w:t xml:space="preserve">). </w:t>
      </w:r>
      <w:r>
        <w:rPr>
          <w:rFonts w:ascii="Times New Roman" w:cs="Times New Roman" w:hAnsi="Times New Roman"/>
          <w:sz w:val="24"/>
          <w:szCs w:val="24"/>
        </w:rPr>
        <w:t xml:space="preserve">During pregnancy and in the fist year of life, adequate nutrition is essential because it ensures that there </w:t>
      </w:r>
      <w:r>
        <w:rPr>
          <w:rFonts w:ascii="Times New Roman" w:cs="Times New Roman" w:hAnsi="Times New Roman"/>
          <w:sz w:val="24"/>
          <w:szCs w:val="24"/>
        </w:rPr>
        <w:t>are</w:t>
      </w:r>
      <w:r>
        <w:rPr>
          <w:rFonts w:ascii="Times New Roman" w:cs="Times New Roman" w:hAnsi="Times New Roman"/>
          <w:sz w:val="24"/>
          <w:szCs w:val="24"/>
        </w:rPr>
        <w:t xml:space="preserve"> enough nutrients for the mother and the infant.</w:t>
      </w:r>
      <w:r>
        <w:rPr>
          <w:rFonts w:ascii="Times New Roman" w:cs="Times New Roman" w:hAnsi="Times New Roman"/>
          <w:sz w:val="24"/>
          <w:szCs w:val="24"/>
        </w:rPr>
        <w:t xml:space="preserve"> Inadequate nutrition can have both short and long-term implications. </w:t>
      </w:r>
      <w:r>
        <w:rPr>
          <w:rFonts w:ascii="Times New Roman" w:cs="Times New Roman" w:hAnsi="Times New Roman"/>
          <w:sz w:val="24"/>
          <w:szCs w:val="24"/>
        </w:rPr>
        <w:t xml:space="preserve">Short-term effects can include exposure to heart disease and obesity to the </w:t>
      </w:r>
      <w:r>
        <w:rPr>
          <w:rFonts w:ascii="Times New Roman" w:cs="Times New Roman" w:hAnsi="Times New Roman"/>
          <w:sz w:val="24"/>
          <w:szCs w:val="24"/>
        </w:rPr>
        <w:t xml:space="preserve">mother and affect brain development (Dubois, 2004). </w:t>
      </w:r>
      <w:r>
        <w:rPr>
          <w:rFonts w:ascii="Times New Roman" w:cs="Times New Roman" w:hAnsi="Times New Roman"/>
          <w:sz w:val="24"/>
          <w:szCs w:val="24"/>
        </w:rPr>
        <w:t xml:space="preserve">Another effect is poor health during adulthood and poor development of organs. </w:t>
      </w:r>
      <w:r>
        <w:rPr>
          <w:rFonts w:ascii="Times New Roman" w:cs="Times New Roman" w:hAnsi="Times New Roman"/>
          <w:sz w:val="24"/>
          <w:szCs w:val="24"/>
        </w:rPr>
        <w:t xml:space="preserve">Long-term effects can include poor mental performance, reduced economic productivity, poor academic performance, and reduced physical performance. Poor nutrition during pregnancy can lead to the development of different maternal health risks like iron deficiency, stillbirth, miscarriages, post-term delivery, and premature rapturing of membranes (Dubois, 2004). During the first year of life, children can also be exposed to the development of different disorders resulting from malnutrition. Infants can have weaker bones, hence the development of rickets due to lack of vitamin D. There can be impaired physical development, poor movement and coordination, paralysis of limbs, and high infant mortality rate. </w:t>
      </w:r>
      <w:r>
        <w:rPr>
          <w:rFonts w:ascii="Times New Roman" w:cs="Times New Roman" w:hAnsi="Times New Roman"/>
          <w:sz w:val="24"/>
          <w:szCs w:val="24"/>
        </w:rPr>
        <w:t xml:space="preserve">Infants can also have retarded growth and congenital abnormalities associated with lack of zinc.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(2). </w:t>
      </w:r>
      <w:r>
        <w:rPr>
          <w:rFonts w:ascii="Times New Roman" w:cs="Times New Roman" w:hAnsi="Times New Roman"/>
          <w:sz w:val="24"/>
          <w:szCs w:val="24"/>
        </w:rPr>
        <w:t xml:space="preserve">Obesity among </w:t>
      </w:r>
      <w:r>
        <w:rPr>
          <w:rFonts w:ascii="Times New Roman" w:cs="Times New Roman" w:hAnsi="Times New Roman"/>
          <w:sz w:val="24"/>
          <w:szCs w:val="24"/>
        </w:rPr>
        <w:t>the youth</w:t>
      </w:r>
      <w:r>
        <w:rPr>
          <w:rFonts w:ascii="Times New Roman" w:cs="Times New Roman" w:hAnsi="Times New Roman"/>
          <w:sz w:val="24"/>
          <w:szCs w:val="24"/>
        </w:rPr>
        <w:t xml:space="preserve"> in the U</w:t>
      </w:r>
      <w:r>
        <w:rPr>
          <w:rFonts w:ascii="Times New Roman" w:cs="Times New Roman" w:hAnsi="Times New Roman"/>
          <w:sz w:val="24"/>
          <w:szCs w:val="24"/>
        </w:rPr>
        <w:t>.S</w:t>
      </w:r>
      <w:r>
        <w:rPr>
          <w:rFonts w:ascii="Times New Roman" w:cs="Times New Roman" w:hAnsi="Times New Roman"/>
          <w:sz w:val="24"/>
          <w:szCs w:val="24"/>
        </w:rPr>
        <w:t xml:space="preserve"> is a major </w:t>
      </w:r>
      <w:r>
        <w:rPr>
          <w:rFonts w:ascii="Times New Roman" w:cs="Times New Roman" w:hAnsi="Times New Roman"/>
          <w:sz w:val="24"/>
          <w:szCs w:val="24"/>
        </w:rPr>
        <w:t>challenge,</w:t>
      </w:r>
      <w:r>
        <w:rPr>
          <w:rFonts w:ascii="Times New Roman" w:cs="Times New Roman" w:hAnsi="Times New Roman"/>
          <w:sz w:val="24"/>
          <w:szCs w:val="24"/>
        </w:rPr>
        <w:t xml:space="preserve"> </w:t>
      </w:r>
      <w:r>
        <w:rPr>
          <w:rFonts w:ascii="Times New Roman" w:cs="Times New Roman" w:hAnsi="Times New Roman"/>
          <w:sz w:val="24"/>
          <w:szCs w:val="24"/>
        </w:rPr>
        <w:t>which</w:t>
      </w:r>
      <w:r>
        <w:rPr>
          <w:rFonts w:ascii="Times New Roman" w:cs="Times New Roman" w:hAnsi="Times New Roman"/>
          <w:sz w:val="24"/>
          <w:szCs w:val="24"/>
        </w:rPr>
        <w:t xml:space="preserve"> has </w:t>
      </w:r>
      <w:r>
        <w:rPr>
          <w:rFonts w:ascii="Times New Roman" w:cs="Times New Roman" w:hAnsi="Times New Roman"/>
          <w:sz w:val="24"/>
          <w:szCs w:val="24"/>
        </w:rPr>
        <w:t>resulted</w:t>
      </w:r>
      <w:r>
        <w:rPr>
          <w:rFonts w:ascii="Times New Roman" w:cs="Times New Roman" w:hAnsi="Times New Roman"/>
          <w:sz w:val="24"/>
          <w:szCs w:val="24"/>
        </w:rPr>
        <w:t xml:space="preserve"> to the </w:t>
      </w:r>
      <w:r>
        <w:rPr>
          <w:rFonts w:ascii="Times New Roman" w:cs="Times New Roman" w:hAnsi="Times New Roman"/>
          <w:sz w:val="24"/>
          <w:szCs w:val="24"/>
        </w:rPr>
        <w:t>decline</w:t>
      </w:r>
      <w:r>
        <w:rPr>
          <w:rFonts w:ascii="Times New Roman" w:cs="Times New Roman" w:hAnsi="Times New Roman"/>
          <w:sz w:val="24"/>
          <w:szCs w:val="24"/>
        </w:rPr>
        <w:t xml:space="preserve"> of quality of life. The prevalence of </w:t>
      </w:r>
      <w:r>
        <w:rPr>
          <w:rFonts w:ascii="Times New Roman" w:cs="Times New Roman" w:hAnsi="Times New Roman"/>
          <w:sz w:val="24"/>
          <w:szCs w:val="24"/>
        </w:rPr>
        <w:t>overweight</w:t>
      </w:r>
      <w:r>
        <w:rPr>
          <w:rFonts w:ascii="Times New Roman" w:cs="Times New Roman" w:hAnsi="Times New Roman"/>
          <w:sz w:val="24"/>
          <w:szCs w:val="24"/>
        </w:rPr>
        <w:t xml:space="preserve"> among young people is </w:t>
      </w:r>
      <w:r>
        <w:rPr>
          <w:rFonts w:ascii="Times New Roman" w:cs="Times New Roman" w:hAnsi="Times New Roman"/>
          <w:sz w:val="24"/>
          <w:szCs w:val="24"/>
        </w:rPr>
        <w:t>significantly high</w:t>
      </w:r>
      <w:r>
        <w:rPr>
          <w:rFonts w:ascii="Times New Roman" w:cs="Times New Roman" w:hAnsi="Times New Roman"/>
          <w:sz w:val="24"/>
          <w:szCs w:val="24"/>
        </w:rPr>
        <w:t xml:space="preserve">. </w:t>
      </w:r>
      <w:r>
        <w:rPr>
          <w:rFonts w:ascii="Times New Roman" w:cs="Times New Roman" w:hAnsi="Times New Roman"/>
          <w:sz w:val="24"/>
          <w:szCs w:val="24"/>
        </w:rPr>
        <w:t>Obesity has been associated with the ability to</w:t>
      </w:r>
      <w:r>
        <w:rPr>
          <w:rFonts w:ascii="Times New Roman" w:cs="Times New Roman" w:hAnsi="Times New Roman"/>
          <w:sz w:val="24"/>
          <w:szCs w:val="24"/>
        </w:rPr>
        <w:t xml:space="preserve"> increase the probability of developing other diseases </w:t>
      </w:r>
      <w:r>
        <w:rPr>
          <w:rFonts w:ascii="Times New Roman" w:cs="Times New Roman" w:hAnsi="Times New Roman"/>
          <w:sz w:val="24"/>
          <w:szCs w:val="24"/>
        </w:rPr>
        <w:t>like</w:t>
      </w:r>
      <w:r>
        <w:rPr>
          <w:rFonts w:ascii="Times New Roman" w:cs="Times New Roman" w:hAnsi="Times New Roman"/>
          <w:sz w:val="24"/>
          <w:szCs w:val="24"/>
        </w:rPr>
        <w:t xml:space="preserve"> cardiovascular diseases, diabetes, and cancer. The prevalence of obesity in adults is approximately 39% and more than 18% among children and adolescents (</w:t>
      </w:r>
      <w:r>
        <w:rPr>
          <w:rFonts w:ascii="Times New Roman" w:cs="Times New Roman" w:hAnsi="Times New Roman"/>
          <w:sz w:val="24"/>
          <w:szCs w:val="24"/>
        </w:rPr>
        <w:t>Moores</w:t>
      </w:r>
      <w:r>
        <w:rPr>
          <w:rFonts w:ascii="Times New Roman" w:cs="Times New Roman" w:hAnsi="Times New Roman"/>
          <w:sz w:val="24"/>
          <w:szCs w:val="24"/>
        </w:rPr>
        <w:t>, 2018). In the last three decades, the rate of obesity among young people has increased by f</w:t>
      </w:r>
      <w:r>
        <w:rPr>
          <w:rFonts w:ascii="Times New Roman" w:cs="Times New Roman" w:hAnsi="Times New Roman"/>
          <w:sz w:val="24"/>
          <w:szCs w:val="24"/>
        </w:rPr>
        <w:t>ivefold</w:t>
      </w:r>
      <w:r>
        <w:rPr>
          <w:rFonts w:ascii="Times New Roman" w:cs="Times New Roman" w:hAnsi="Times New Roman"/>
          <w:sz w:val="24"/>
          <w:szCs w:val="24"/>
        </w:rPr>
        <w:t xml:space="preserve"> (Claudia et al., 2018).</w:t>
      </w:r>
      <w:r>
        <w:rPr>
          <w:rFonts w:ascii="Times New Roman" w:cs="Times New Roman" w:hAnsi="Times New Roman"/>
          <w:sz w:val="24"/>
          <w:szCs w:val="24"/>
        </w:rPr>
        <w:t xml:space="preserve"> </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Based on these findings, I believe that children who are eligible to access food stamps are at a higher risk of becomi9ng obese. </w:t>
      </w:r>
      <w:r>
        <w:rPr>
          <w:rFonts w:ascii="Times New Roman" w:cs="Times New Roman" w:hAnsi="Times New Roman"/>
          <w:sz w:val="24"/>
          <w:szCs w:val="24"/>
        </w:rPr>
        <w:t xml:space="preserve">USDA does not limit the number of items a </w:t>
      </w:r>
      <w:r>
        <w:rPr>
          <w:rFonts w:ascii="Times New Roman" w:cs="Times New Roman" w:hAnsi="Times New Roman"/>
          <w:sz w:val="24"/>
          <w:szCs w:val="24"/>
        </w:rPr>
        <w:t>child can</w:t>
      </w:r>
      <w:r>
        <w:rPr>
          <w:rFonts w:ascii="Times New Roman" w:cs="Times New Roman" w:hAnsi="Times New Roman"/>
          <w:sz w:val="24"/>
          <w:szCs w:val="24"/>
        </w:rPr>
        <w:t xml:space="preserve"> purchase as long as it is among the recommended items and within the designated amoun</w:t>
      </w:r>
      <w:r>
        <w:rPr>
          <w:rFonts w:ascii="Times New Roman" w:cs="Times New Roman" w:hAnsi="Times New Roman"/>
          <w:sz w:val="24"/>
          <w:szCs w:val="24"/>
        </w:rPr>
        <w:t xml:space="preserve">t (USDA, </w:t>
      </w:r>
      <w:r>
        <w:rPr>
          <w:rFonts w:ascii="Times New Roman" w:cs="Times New Roman" w:hAnsi="Times New Roman"/>
          <w:sz w:val="24"/>
          <w:szCs w:val="24"/>
        </w:rPr>
        <w:t>n.d</w:t>
      </w:r>
      <w:r>
        <w:rPr>
          <w:rFonts w:ascii="Times New Roman" w:cs="Times New Roman" w:hAnsi="Times New Roman"/>
          <w:sz w:val="24"/>
          <w:szCs w:val="24"/>
        </w:rPr>
        <w:t xml:space="preserve">). This fact gives children an opportunity to consume foods without </w:t>
      </w:r>
      <w:r>
        <w:rPr>
          <w:rFonts w:ascii="Times New Roman" w:cs="Times New Roman" w:hAnsi="Times New Roman"/>
          <w:sz w:val="24"/>
          <w:szCs w:val="24"/>
        </w:rPr>
        <w:t xml:space="preserve">monitoring their diet. </w:t>
      </w:r>
      <w:r>
        <w:rPr>
          <w:rFonts w:ascii="Times New Roman" w:cs="Times New Roman" w:hAnsi="Times New Roman"/>
          <w:sz w:val="24"/>
          <w:szCs w:val="24"/>
        </w:rPr>
        <w:t xml:space="preserve">Besides, children in SPAN have access all types of foods, and thus, can easily engage in poor eating habits, leading to obesity. </w:t>
      </w:r>
    </w:p>
    <w:p>
      <w:pPr>
        <w:pStyle w:val="style179"/>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Claudia</w:t>
      </w:r>
      <w:r>
        <w:rPr>
          <w:rFonts w:ascii="Times New Roman" w:cs="Times New Roman" w:hAnsi="Times New Roman"/>
          <w:sz w:val="24"/>
          <w:szCs w:val="24"/>
        </w:rPr>
        <w:t>, F., et al. (2018). Depression, Anxiety and Severity of Obesity in adolescents: Is Emotional Eating the Link? The University of Minnesota, 55(12): 1120-1125.</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Dubois, L. (</w:t>
      </w:r>
      <w:r>
        <w:rPr>
          <w:rFonts w:ascii="Times New Roman" w:cs="Times New Roman" w:hAnsi="Times New Roman"/>
          <w:sz w:val="24"/>
          <w:szCs w:val="24"/>
        </w:rPr>
        <w:t>2004) The</w:t>
      </w:r>
      <w:r>
        <w:rPr>
          <w:rFonts w:ascii="Times New Roman" w:cs="Times New Roman" w:hAnsi="Times New Roman"/>
          <w:sz w:val="24"/>
          <w:szCs w:val="24"/>
        </w:rPr>
        <w:t xml:space="preserve"> Impact of Prenatal and Early Postnatal Nutrition on Child Development: Comments on </w:t>
      </w:r>
      <w:r>
        <w:rPr>
          <w:rFonts w:ascii="Times New Roman" w:cs="Times New Roman" w:hAnsi="Times New Roman"/>
          <w:sz w:val="24"/>
          <w:szCs w:val="24"/>
        </w:rPr>
        <w:t>Lumey</w:t>
      </w:r>
      <w:r>
        <w:rPr>
          <w:rFonts w:ascii="Times New Roman" w:cs="Times New Roman" w:hAnsi="Times New Roman"/>
          <w:sz w:val="24"/>
          <w:szCs w:val="24"/>
        </w:rPr>
        <w:t xml:space="preserve"> and </w:t>
      </w:r>
      <w:r>
        <w:rPr>
          <w:rFonts w:ascii="Times New Roman" w:cs="Times New Roman" w:hAnsi="Times New Roman"/>
          <w:sz w:val="24"/>
          <w:szCs w:val="24"/>
        </w:rPr>
        <w:t>Susser</w:t>
      </w:r>
      <w:r>
        <w:rPr>
          <w:rFonts w:ascii="Times New Roman" w:cs="Times New Roman" w:hAnsi="Times New Roman"/>
          <w:sz w:val="24"/>
          <w:szCs w:val="24"/>
        </w:rPr>
        <w:t xml:space="preserve">, Innis and Atkins. In: Tremblay RE, Boivin M, Peters </w:t>
      </w:r>
      <w:r>
        <w:rPr>
          <w:rFonts w:ascii="Times New Roman" w:cs="Times New Roman" w:hAnsi="Times New Roman"/>
          <w:sz w:val="24"/>
          <w:szCs w:val="24"/>
        </w:rPr>
        <w:t>RDeV</w:t>
      </w:r>
      <w:r>
        <w:rPr>
          <w:rFonts w:ascii="Times New Roman" w:cs="Times New Roman" w:hAnsi="Times New Roman"/>
          <w:sz w:val="24"/>
          <w:szCs w:val="24"/>
        </w:rPr>
        <w:t xml:space="preserve">, eds. </w:t>
      </w:r>
      <w:r>
        <w:rPr>
          <w:rFonts w:ascii="Times New Roman" w:cs="Times New Roman" w:hAnsi="Times New Roman"/>
          <w:i/>
          <w:iCs/>
          <w:sz w:val="24"/>
          <w:szCs w:val="24"/>
        </w:rPr>
        <w:t xml:space="preserve">Encyclopedia on Early Childhood Development </w:t>
      </w:r>
      <w:r>
        <w:rPr>
          <w:rFonts w:ascii="Times New Roman" w:cs="Times New Roman" w:hAnsi="Times New Roman"/>
          <w:sz w:val="24"/>
          <w:szCs w:val="24"/>
        </w:rPr>
        <w:t xml:space="preserve">[online]. </w:t>
      </w:r>
      <w:r>
        <w:rPr/>
        <w:fldChar w:fldCharType="begin"/>
      </w:r>
      <w:r>
        <w:instrText xml:space="preserve"> HYPERLINK "https://www.child-encyclopedia.com/nutrition-pregnancy/according-experts/im%5bact-prenatal-and-early-postnatal-nutrition=child" </w:instrText>
      </w:r>
      <w:r>
        <w:rPr/>
        <w:fldChar w:fldCharType="separate"/>
      </w:r>
      <w:r>
        <w:rPr>
          <w:rStyle w:val="style85"/>
          <w:rFonts w:ascii="Times New Roman" w:cs="Times New Roman" w:hAnsi="Times New Roman"/>
          <w:sz w:val="24"/>
          <w:szCs w:val="24"/>
        </w:rPr>
        <w:t>https://www.child-encyclopedia.com/nutrition-pregnancy/according-experts/im[act-prenatal-and-early-postnatal-nutrition=child</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Moores</w:t>
      </w:r>
      <w:r>
        <w:rPr>
          <w:rFonts w:ascii="Times New Roman" w:cs="Times New Roman" w:hAnsi="Times New Roman"/>
          <w:sz w:val="24"/>
          <w:szCs w:val="24"/>
        </w:rPr>
        <w:t xml:space="preserve">, D. (2018). Obesity. </w:t>
      </w:r>
      <w:r>
        <w:rPr/>
        <w:fldChar w:fldCharType="begin"/>
      </w:r>
      <w:r>
        <w:instrText xml:space="preserve"> HYPERLINK "https://www.healthline.com/health/obesity" </w:instrText>
      </w:r>
      <w:r>
        <w:rPr/>
        <w:fldChar w:fldCharType="separate"/>
      </w:r>
      <w:r>
        <w:rPr>
          <w:rStyle w:val="style85"/>
          <w:rFonts w:ascii="Times New Roman" w:cs="Times New Roman" w:hAnsi="Times New Roman"/>
          <w:sz w:val="24"/>
          <w:szCs w:val="24"/>
        </w:rPr>
        <w:t>https://www.healthline.com/health/obesity</w:t>
      </w:r>
      <w:r>
        <w:rPr/>
        <w:fldChar w:fldCharType="end"/>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United States Department of Agriculture (USDA). (2020). Official USDA Food Plans: Cost of Food at Home at Four Levels, U.S. Average, April 2020. </w:t>
      </w:r>
      <w:r>
        <w:rPr/>
        <w:fldChar w:fldCharType="begin"/>
      </w:r>
      <w:r>
        <w:instrText xml:space="preserve"> HYPERLINK "https://sss.fns.usda.gov/cnpp/usda-food-plans-cost-food-reports-monthly-reports" </w:instrText>
      </w:r>
      <w:r>
        <w:rPr/>
        <w:fldChar w:fldCharType="separate"/>
      </w:r>
      <w:r>
        <w:rPr>
          <w:rStyle w:val="style85"/>
          <w:rFonts w:ascii="Times New Roman" w:cs="Times New Roman" w:hAnsi="Times New Roman"/>
          <w:sz w:val="24"/>
          <w:szCs w:val="24"/>
        </w:rPr>
        <w:t>https://sss.fns.usda.gov/cnpp/usda-food-plans-cost-food-reports-monthly-reports</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USDA. (</w:t>
      </w:r>
      <w:r>
        <w:rPr>
          <w:rFonts w:ascii="Times New Roman" w:cs="Times New Roman" w:hAnsi="Times New Roman"/>
          <w:sz w:val="24"/>
          <w:szCs w:val="24"/>
        </w:rPr>
        <w:t>n.d</w:t>
      </w:r>
      <w:r>
        <w:rPr>
          <w:rFonts w:ascii="Times New Roman" w:cs="Times New Roman" w:hAnsi="Times New Roman"/>
          <w:sz w:val="24"/>
          <w:szCs w:val="24"/>
        </w:rPr>
        <w:t xml:space="preserve">). What Can SNAP Buy? </w:t>
      </w:r>
      <w:r>
        <w:rPr/>
        <w:fldChar w:fldCharType="begin"/>
      </w:r>
      <w:r>
        <w:instrText xml:space="preserve"> HYPERLINK "https://www.fns.usda.gov/snap/eligible-food-items" </w:instrText>
      </w:r>
      <w:r>
        <w:rPr/>
        <w:fldChar w:fldCharType="separate"/>
      </w:r>
      <w:r>
        <w:rPr>
          <w:rStyle w:val="style85"/>
          <w:rFonts w:ascii="Times New Roman" w:cs="Times New Roman" w:hAnsi="Times New Roman"/>
          <w:sz w:val="24"/>
          <w:szCs w:val="24"/>
        </w:rPr>
        <w:t>https://www.fns.usda.gov/snap/eligible-food-items</w:t>
      </w:r>
      <w:r>
        <w:rPr/>
        <w:fldChar w:fldCharType="end"/>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USDA. (</w:t>
      </w:r>
      <w:r>
        <w:rPr>
          <w:rFonts w:ascii="Times New Roman" w:cs="Times New Roman" w:hAnsi="Times New Roman"/>
          <w:sz w:val="24"/>
          <w:szCs w:val="24"/>
        </w:rPr>
        <w:t>n.d</w:t>
      </w:r>
      <w:r>
        <w:rPr>
          <w:rFonts w:ascii="Times New Roman" w:cs="Times New Roman" w:hAnsi="Times New Roman"/>
          <w:sz w:val="24"/>
          <w:szCs w:val="24"/>
        </w:rPr>
        <w:t xml:space="preserve">). About WIC. </w:t>
      </w:r>
      <w:r>
        <w:rPr/>
        <w:fldChar w:fldCharType="begin"/>
      </w:r>
      <w:r>
        <w:instrText xml:space="preserve"> HYPERLINK "https://wwwfns.usda.gov/wic/about-wic" </w:instrText>
      </w:r>
      <w:r>
        <w:rPr/>
        <w:fldChar w:fldCharType="separate"/>
      </w:r>
      <w:r>
        <w:rPr>
          <w:rStyle w:val="style85"/>
          <w:rFonts w:ascii="Times New Roman" w:cs="Times New Roman" w:hAnsi="Times New Roman"/>
          <w:sz w:val="24"/>
          <w:szCs w:val="24"/>
        </w:rPr>
        <w:t>https://wwwfns.usda.gov/wic/about-wic</w:t>
      </w:r>
      <w:r>
        <w:rPr/>
        <w:fldChar w:fldCharType="end"/>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E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SUPPLEMENTAL NUTRITION ASSISTANCE PROGRAM (SNAP)</w:t>
    </w:r>
    <w:r>
      <w:tab/>
    </w:r>
    <w:r>
      <w:t>1</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0F2DC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cb8a66c-caac-413a-b551-2b2d40b117b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4487d87-d99f-4a33-8e41-04efd2115fbd"/>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815</Words>
  <Pages>6</Pages>
  <Characters>4622</Characters>
  <Application>WPS Office</Application>
  <DocSecurity>0</DocSecurity>
  <Paragraphs>100</Paragraphs>
  <ScaleCrop>false</ScaleCrop>
  <LinksUpToDate>false</LinksUpToDate>
  <CharactersWithSpaces>5398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2020-06-17T11:08:33Z</dcterms:created>
  <dc:creator>lazarus junior</dc:creator>
  <lastModifiedBy>STK-L21</lastModifiedBy>
  <dcterms:modified xsi:type="dcterms:W3CDTF">2020-06-17T11:08:33Z</dcterms:modified>
  <revision>25</revision>
</coreProperties>
</file>

<file path=docProps/custom.xml><?xml version="1.0" encoding="utf-8"?>
<Properties xmlns="http://schemas.openxmlformats.org/officeDocument/2006/custom-properties" xmlns:vt="http://schemas.openxmlformats.org/officeDocument/2006/docPropsVTypes"/>
</file>