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2D67" w:rsidRDefault="001B5420">
      <w:pPr>
        <w:spacing w:after="0" w:line="259" w:lineRule="auto"/>
        <w:ind w:left="0" w:right="0" w:firstLine="0"/>
        <w:jc w:val="center"/>
      </w:pPr>
      <w:bookmarkStart w:id="0" w:name="_GoBack"/>
      <w:bookmarkEnd w:id="0"/>
      <w:r>
        <w:rPr>
          <w:rFonts w:ascii="Arial" w:eastAsia="Arial" w:hAnsi="Arial" w:cs="Arial"/>
          <w:color w:val="000000"/>
          <w:sz w:val="52"/>
        </w:rPr>
        <w:t>Gender &amp; Society</w:t>
      </w:r>
    </w:p>
    <w:p w:rsidR="00DE2D67" w:rsidRDefault="001B5420">
      <w:pPr>
        <w:spacing w:after="550" w:line="259" w:lineRule="auto"/>
        <w:ind w:left="0" w:right="0" w:firstLine="0"/>
        <w:jc w:val="center"/>
      </w:pPr>
      <w:hyperlink r:id="rId7">
        <w:r>
          <w:rPr>
            <w:rFonts w:ascii="Arial" w:eastAsia="Arial" w:hAnsi="Arial" w:cs="Arial"/>
            <w:color w:val="0000FF"/>
            <w:sz w:val="24"/>
          </w:rPr>
          <w:t>http://gas.sagepub.com/</w:t>
        </w:r>
      </w:hyperlink>
      <w:hyperlink r:id="rId8">
        <w:r>
          <w:rPr>
            <w:rFonts w:ascii="Arial" w:eastAsia="Arial" w:hAnsi="Arial" w:cs="Arial"/>
            <w:color w:val="000000"/>
          </w:rPr>
          <w:t xml:space="preserve"> </w:t>
        </w:r>
      </w:hyperlink>
    </w:p>
    <w:p w:rsidR="00DE2D67" w:rsidRDefault="001B5420">
      <w:pPr>
        <w:spacing w:before="322" w:after="0" w:line="259" w:lineRule="auto"/>
        <w:ind w:left="0" w:right="0" w:firstLine="0"/>
        <w:jc w:val="center"/>
      </w:pPr>
      <w:r>
        <w:rPr>
          <w:rFonts w:ascii="Arial" w:eastAsia="Arial" w:hAnsi="Arial" w:cs="Arial"/>
          <w:color w:val="000000"/>
        </w:rPr>
        <w:t xml:space="preserve"> </w:t>
      </w:r>
    </w:p>
    <w:p w:rsidR="00DE2D67" w:rsidRDefault="001B5420">
      <w:pPr>
        <w:spacing w:after="0" w:line="259" w:lineRule="auto"/>
        <w:ind w:left="0" w:right="0" w:firstLine="0"/>
        <w:jc w:val="center"/>
      </w:pPr>
      <w:r>
        <w:rPr>
          <w:rFonts w:ascii="Arial" w:eastAsia="Arial" w:hAnsi="Arial" w:cs="Arial"/>
          <w:color w:val="000000"/>
        </w:rPr>
        <w:t xml:space="preserve"> </w:t>
      </w:r>
    </w:p>
    <w:p w:rsidR="00DE2D67" w:rsidRDefault="001B5420">
      <w:pPr>
        <w:spacing w:after="0" w:line="259" w:lineRule="auto"/>
        <w:ind w:left="0" w:right="0" w:firstLine="0"/>
        <w:jc w:val="left"/>
      </w:pPr>
      <w:r>
        <w:rPr>
          <w:rFonts w:ascii="Arial" w:eastAsia="Arial" w:hAnsi="Arial" w:cs="Arial"/>
          <w:b/>
          <w:color w:val="000000"/>
          <w:sz w:val="24"/>
        </w:rPr>
        <w:t>Grinding On the Dance Floor: Gendered Scripts and Sexualized Dancing at</w:t>
      </w:r>
    </w:p>
    <w:p w:rsidR="00DE2D67" w:rsidRDefault="001B5420">
      <w:pPr>
        <w:spacing w:after="0" w:line="259" w:lineRule="auto"/>
        <w:ind w:left="0" w:right="67" w:firstLine="0"/>
        <w:jc w:val="center"/>
      </w:pPr>
      <w:r>
        <w:rPr>
          <w:rFonts w:ascii="Arial" w:eastAsia="Arial" w:hAnsi="Arial" w:cs="Arial"/>
          <w:b/>
          <w:color w:val="000000"/>
          <w:sz w:val="24"/>
        </w:rPr>
        <w:t>College Parties</w:t>
      </w:r>
    </w:p>
    <w:p w:rsidR="00DE2D67" w:rsidRDefault="001B5420">
      <w:pPr>
        <w:spacing w:after="0" w:line="259" w:lineRule="auto"/>
        <w:ind w:left="130" w:right="120" w:hanging="10"/>
        <w:jc w:val="center"/>
      </w:pPr>
      <w:r>
        <w:rPr>
          <w:rFonts w:ascii="Arial" w:eastAsia="Arial" w:hAnsi="Arial" w:cs="Arial"/>
          <w:color w:val="000000"/>
        </w:rPr>
        <w:t>Shelly Ronen</w:t>
      </w:r>
    </w:p>
    <w:p w:rsidR="00DE2D67" w:rsidRDefault="001B5420">
      <w:pPr>
        <w:spacing w:after="0" w:line="259" w:lineRule="auto"/>
        <w:ind w:left="0" w:right="0" w:firstLine="0"/>
        <w:jc w:val="center"/>
      </w:pPr>
      <w:r>
        <w:rPr>
          <w:rFonts w:ascii="Arial" w:eastAsia="Arial" w:hAnsi="Arial" w:cs="Arial"/>
          <w:i/>
          <w:color w:val="000000"/>
        </w:rPr>
        <w:t>Gender &amp; Society</w:t>
      </w:r>
      <w:r>
        <w:rPr>
          <w:rFonts w:ascii="Arial" w:eastAsia="Arial" w:hAnsi="Arial" w:cs="Arial"/>
          <w:color w:val="000000"/>
        </w:rPr>
        <w:t xml:space="preserve"> 2010 24: 355</w:t>
      </w:r>
    </w:p>
    <w:p w:rsidR="00DE2D67" w:rsidRDefault="001B5420">
      <w:pPr>
        <w:spacing w:after="0" w:line="259" w:lineRule="auto"/>
        <w:ind w:left="130" w:right="120" w:hanging="10"/>
        <w:jc w:val="center"/>
      </w:pPr>
      <w:r>
        <w:rPr>
          <w:rFonts w:ascii="Arial" w:eastAsia="Arial" w:hAnsi="Arial" w:cs="Arial"/>
          <w:color w:val="000000"/>
        </w:rPr>
        <w:t>DOI: 10.1177/0891243210369894</w:t>
      </w:r>
    </w:p>
    <w:p w:rsidR="00DE2D67" w:rsidRDefault="001B5420">
      <w:pPr>
        <w:spacing w:after="0" w:line="259" w:lineRule="auto"/>
        <w:ind w:left="0" w:right="0" w:firstLine="0"/>
        <w:jc w:val="center"/>
      </w:pPr>
      <w:r>
        <w:rPr>
          <w:rFonts w:ascii="Arial" w:eastAsia="Arial" w:hAnsi="Arial" w:cs="Arial"/>
          <w:color w:val="000000"/>
        </w:rPr>
        <w:t xml:space="preserve"> </w:t>
      </w:r>
    </w:p>
    <w:p w:rsidR="00DE2D67" w:rsidRDefault="001B5420">
      <w:pPr>
        <w:spacing w:after="0" w:line="259" w:lineRule="auto"/>
        <w:ind w:left="130" w:right="120" w:hanging="10"/>
        <w:jc w:val="center"/>
      </w:pPr>
      <w:r>
        <w:rPr>
          <w:rFonts w:ascii="Arial" w:eastAsia="Arial" w:hAnsi="Arial" w:cs="Arial"/>
          <w:color w:val="000000"/>
        </w:rPr>
        <w:t>The online version of this article can be found at:</w:t>
      </w:r>
    </w:p>
    <w:p w:rsidR="00DE2D67" w:rsidRDefault="001B5420">
      <w:pPr>
        <w:spacing w:after="209" w:line="265" w:lineRule="auto"/>
        <w:ind w:left="10" w:right="0" w:hanging="10"/>
        <w:jc w:val="center"/>
      </w:pPr>
      <w:hyperlink r:id="rId9">
        <w:r>
          <w:rPr>
            <w:rFonts w:ascii="Arial" w:eastAsia="Arial" w:hAnsi="Arial" w:cs="Arial"/>
            <w:color w:val="0000FF"/>
          </w:rPr>
          <w:t>http://gas.sagepub.com/content/24/3/355</w:t>
        </w:r>
      </w:hyperlink>
      <w:hyperlink r:id="rId10">
        <w:r>
          <w:rPr>
            <w:rFonts w:ascii="Arial" w:eastAsia="Arial" w:hAnsi="Arial" w:cs="Arial"/>
            <w:color w:val="000000"/>
          </w:rPr>
          <w:t xml:space="preserve"> </w:t>
        </w:r>
      </w:hyperlink>
    </w:p>
    <w:p w:rsidR="00DE2D67" w:rsidRDefault="001B5420">
      <w:pPr>
        <w:spacing w:before="101" w:after="0" w:line="259" w:lineRule="auto"/>
        <w:ind w:left="10" w:right="0" w:hanging="10"/>
        <w:jc w:val="center"/>
      </w:pPr>
      <w:hyperlink r:id="rId11">
        <w:r>
          <w:rPr>
            <w:rFonts w:ascii="Arial" w:eastAsia="Arial" w:hAnsi="Arial" w:cs="Arial"/>
            <w:color w:val="0000FF"/>
            <w:sz w:val="20"/>
          </w:rPr>
          <w:t>http://www.sagepublications.com</w:t>
        </w:r>
      </w:hyperlink>
      <w:hyperlink r:id="rId12">
        <w:r>
          <w:rPr>
            <w:rFonts w:ascii="Arial" w:eastAsia="Arial" w:hAnsi="Arial" w:cs="Arial"/>
            <w:color w:val="000000"/>
          </w:rPr>
          <w:t xml:space="preserve"> </w:t>
        </w:r>
      </w:hyperlink>
    </w:p>
    <w:p w:rsidR="00DE2D67" w:rsidRDefault="001B5420">
      <w:pPr>
        <w:spacing w:after="0" w:line="259" w:lineRule="auto"/>
        <w:ind w:left="120" w:right="0" w:firstLine="0"/>
        <w:jc w:val="center"/>
      </w:pPr>
      <w:r>
        <w:rPr>
          <w:rFonts w:ascii="Arial" w:eastAsia="Arial" w:hAnsi="Arial" w:cs="Arial"/>
          <w:color w:val="000000"/>
        </w:rPr>
        <w:t xml:space="preserve"> </w:t>
      </w:r>
    </w:p>
    <w:p w:rsidR="00DE2D67" w:rsidRDefault="001B5420">
      <w:pPr>
        <w:spacing w:after="0" w:line="259" w:lineRule="auto"/>
        <w:ind w:left="130" w:right="0" w:hanging="10"/>
        <w:jc w:val="center"/>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simplePos x="0" y="0"/>
                <wp:positionH relativeFrom="page">
                  <wp:posOffset>12700</wp:posOffset>
                </wp:positionH>
                <wp:positionV relativeFrom="page">
                  <wp:posOffset>1092200</wp:posOffset>
                </wp:positionV>
                <wp:extent cx="5461000" cy="12700"/>
                <wp:effectExtent l="0" t="0" r="0" b="0"/>
                <wp:wrapTopAndBottom/>
                <wp:docPr id="17661" name="Group 17661"/>
                <wp:cNvGraphicFramePr/>
                <a:graphic xmlns:a="http://schemas.openxmlformats.org/drawingml/2006/main">
                  <a:graphicData uri="http://schemas.microsoft.com/office/word/2010/wordprocessingGroup">
                    <wpg:wgp>
                      <wpg:cNvGrpSpPr/>
                      <wpg:grpSpPr>
                        <a:xfrm>
                          <a:off x="0" y="0"/>
                          <a:ext cx="5461000" cy="12700"/>
                          <a:chOff x="0" y="0"/>
                          <a:chExt cx="5461000" cy="12700"/>
                        </a:xfrm>
                      </wpg:grpSpPr>
                      <wps:wsp>
                        <wps:cNvPr id="9" name="Shape 9"/>
                        <wps:cNvSpPr/>
                        <wps:spPr>
                          <a:xfrm>
                            <a:off x="0" y="0"/>
                            <a:ext cx="5461000" cy="0"/>
                          </a:xfrm>
                          <a:custGeom>
                            <a:avLst/>
                            <a:gdLst/>
                            <a:ahLst/>
                            <a:cxnLst/>
                            <a:rect l="0" t="0" r="0" b="0"/>
                            <a:pathLst>
                              <a:path w="5461000">
                                <a:moveTo>
                                  <a:pt x="0" y="0"/>
                                </a:moveTo>
                                <a:lnTo>
                                  <a:pt x="5461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661" style="width:430pt;height:1pt;position:absolute;mso-position-horizontal-relative:page;mso-position-horizontal:absolute;margin-left:1pt;mso-position-vertical-relative:page;margin-top:86pt;" coordsize="54610,127">
                <v:shape id="Shape 9" style="position:absolute;width:54610;height:0;left:0;top:0;" coordsize="5461000,0" path="m0,0l5461000,0">
                  <v:stroke weight="1pt" endcap="flat" joinstyle="miter" miterlimit="10" on="true" color="#000000"/>
                  <v:fill on="false" color="#000000" opacity="0"/>
                </v:shape>
                <w10:wrap type="topAndBottom"/>
              </v:group>
            </w:pict>
          </mc:Fallback>
        </mc:AlternateContent>
      </w: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simplePos x="0" y="0"/>
                <wp:positionH relativeFrom="page">
                  <wp:posOffset>12700</wp:posOffset>
                </wp:positionH>
                <wp:positionV relativeFrom="page">
                  <wp:posOffset>2844800</wp:posOffset>
                </wp:positionV>
                <wp:extent cx="5461000" cy="517525"/>
                <wp:effectExtent l="0" t="0" r="0" b="0"/>
                <wp:wrapTopAndBottom/>
                <wp:docPr id="17662" name="Group 17662"/>
                <wp:cNvGraphicFramePr/>
                <a:graphic xmlns:a="http://schemas.openxmlformats.org/drawingml/2006/main">
                  <a:graphicData uri="http://schemas.microsoft.com/office/word/2010/wordprocessingGroup">
                    <wpg:wgp>
                      <wpg:cNvGrpSpPr/>
                      <wpg:grpSpPr>
                        <a:xfrm>
                          <a:off x="0" y="0"/>
                          <a:ext cx="5461000" cy="517525"/>
                          <a:chOff x="0" y="0"/>
                          <a:chExt cx="5461000" cy="517525"/>
                        </a:xfrm>
                      </wpg:grpSpPr>
                      <wps:wsp>
                        <wps:cNvPr id="23" name="Shape 23"/>
                        <wps:cNvSpPr/>
                        <wps:spPr>
                          <a:xfrm>
                            <a:off x="0" y="0"/>
                            <a:ext cx="5461000" cy="0"/>
                          </a:xfrm>
                          <a:custGeom>
                            <a:avLst/>
                            <a:gdLst/>
                            <a:ahLst/>
                            <a:cxnLst/>
                            <a:rect l="0" t="0" r="0" b="0"/>
                            <a:pathLst>
                              <a:path w="5461000">
                                <a:moveTo>
                                  <a:pt x="0" y="0"/>
                                </a:moveTo>
                                <a:lnTo>
                                  <a:pt x="5461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 name="Rectangle 25"/>
                        <wps:cNvSpPr/>
                        <wps:spPr>
                          <a:xfrm>
                            <a:off x="2349290" y="217195"/>
                            <a:ext cx="1115364" cy="171866"/>
                          </a:xfrm>
                          <a:prstGeom prst="rect">
                            <a:avLst/>
                          </a:prstGeom>
                          <a:ln>
                            <a:noFill/>
                          </a:ln>
                        </wps:spPr>
                        <wps:txbx>
                          <w:txbxContent>
                            <w:p w:rsidR="00DE2D67" w:rsidRDefault="001B5420">
                              <w:pPr>
                                <w:spacing w:after="160" w:line="259" w:lineRule="auto"/>
                                <w:ind w:left="0" w:right="0" w:firstLine="0"/>
                                <w:jc w:val="left"/>
                              </w:pPr>
                              <w:r>
                                <w:rPr>
                                  <w:rFonts w:ascii="Arial" w:eastAsia="Arial" w:hAnsi="Arial" w:cs="Arial"/>
                                  <w:color w:val="000000"/>
                                </w:rPr>
                                <w:t>Published by:</w:t>
                              </w:r>
                            </w:p>
                          </w:txbxContent>
                        </wps:txbx>
                        <wps:bodyPr horzOverflow="overflow" vert="horz" lIns="0" tIns="0" rIns="0" bIns="0" rtlCol="0">
                          <a:noAutofit/>
                        </wps:bodyPr>
                      </wps:wsp>
                      <pic:pic xmlns:pic="http://schemas.openxmlformats.org/drawingml/2006/picture">
                        <pic:nvPicPr>
                          <pic:cNvPr id="27" name="Picture 27"/>
                          <pic:cNvPicPr/>
                        </pic:nvPicPr>
                        <pic:blipFill>
                          <a:blip r:embed="rId13"/>
                          <a:stretch>
                            <a:fillRect/>
                          </a:stretch>
                        </pic:blipFill>
                        <pic:spPr>
                          <a:xfrm>
                            <a:off x="2224088" y="342900"/>
                            <a:ext cx="1089025" cy="174625"/>
                          </a:xfrm>
                          <a:prstGeom prst="rect">
                            <a:avLst/>
                          </a:prstGeom>
                        </pic:spPr>
                      </pic:pic>
                    </wpg:wgp>
                  </a:graphicData>
                </a:graphic>
              </wp:anchor>
            </w:drawing>
          </mc:Choice>
          <mc:Fallback xmlns:a="http://schemas.openxmlformats.org/drawingml/2006/main">
            <w:pict>
              <v:group id="Group 17662" style="width:430pt;height:40.75pt;position:absolute;mso-position-horizontal-relative:page;mso-position-horizontal:absolute;margin-left:1pt;mso-position-vertical-relative:page;margin-top:224pt;" coordsize="54610,5175">
                <v:shape id="Shape 23" style="position:absolute;width:54610;height:0;left:0;top:0;" coordsize="5461000,0" path="m0,0l5461000,0">
                  <v:stroke weight="1pt" endcap="flat" joinstyle="miter" miterlimit="10" on="true" color="#000000"/>
                  <v:fill on="false" color="#000000" opacity="0"/>
                </v:shape>
                <v:rect id="Rectangle 25" style="position:absolute;width:11153;height:1718;left:23492;top:2171;" filled="f" stroked="f">
                  <v:textbox inset="0,0,0,0">
                    <w:txbxContent>
                      <w:p>
                        <w:pPr>
                          <w:spacing w:before="0" w:after="160" w:line="259" w:lineRule="auto"/>
                          <w:ind w:left="0" w:right="0" w:firstLine="0"/>
                          <w:jc w:val="left"/>
                        </w:pPr>
                        <w:r>
                          <w:rPr>
                            <w:rFonts w:cs="Arial" w:hAnsi="Arial" w:eastAsia="Arial" w:ascii="Arial"/>
                            <w:color w:val="000000"/>
                          </w:rPr>
                          <w:t xml:space="preserve">Published by:</w:t>
                        </w:r>
                      </w:p>
                    </w:txbxContent>
                  </v:textbox>
                </v:rect>
                <v:shape id="Picture 27" style="position:absolute;width:10890;height:1746;left:22240;top:3429;" filled="f">
                  <v:imagedata r:id="rId14"/>
                </v:shape>
                <w10:wrap type="topAndBottom"/>
              </v:group>
            </w:pict>
          </mc:Fallback>
        </mc:AlternateContent>
      </w:r>
      <w:r>
        <w:rPr>
          <w:rFonts w:ascii="Arial" w:eastAsia="Arial" w:hAnsi="Arial" w:cs="Arial"/>
          <w:color w:val="000000"/>
        </w:rPr>
        <w:t>On behalf of:</w:t>
      </w:r>
    </w:p>
    <w:p w:rsidR="00DE2D67" w:rsidRDefault="001B5420">
      <w:pPr>
        <w:spacing w:after="96" w:line="259" w:lineRule="auto"/>
        <w:ind w:left="2821" w:right="0" w:firstLine="0"/>
        <w:jc w:val="left"/>
      </w:pPr>
      <w:r>
        <w:rPr>
          <w:noProof/>
        </w:rPr>
        <w:drawing>
          <wp:inline distT="0" distB="0" distL="0" distR="0">
            <wp:extent cx="1905000" cy="762000"/>
            <wp:effectExtent l="0" t="0" r="0" b="0"/>
            <wp:docPr id="33" name="Pictu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5"/>
                    <a:stretch>
                      <a:fillRect/>
                    </a:stretch>
                  </pic:blipFill>
                  <pic:spPr>
                    <a:xfrm>
                      <a:off x="0" y="0"/>
                      <a:ext cx="1905000" cy="762000"/>
                    </a:xfrm>
                    <a:prstGeom prst="rect">
                      <a:avLst/>
                    </a:prstGeom>
                  </pic:spPr>
                </pic:pic>
              </a:graphicData>
            </a:graphic>
          </wp:inline>
        </w:drawing>
      </w:r>
    </w:p>
    <w:p w:rsidR="00DE2D67" w:rsidRDefault="001B5420">
      <w:pPr>
        <w:spacing w:after="0" w:line="259" w:lineRule="auto"/>
        <w:ind w:left="10" w:right="0" w:hanging="10"/>
        <w:jc w:val="center"/>
      </w:pPr>
      <w:hyperlink r:id="rId16">
        <w:r>
          <w:rPr>
            <w:rFonts w:ascii="Arial" w:eastAsia="Arial" w:hAnsi="Arial" w:cs="Arial"/>
            <w:color w:val="0000FF"/>
            <w:sz w:val="20"/>
          </w:rPr>
          <w:t>Sociologists for Women in Society</w:t>
        </w:r>
      </w:hyperlink>
      <w:hyperlink r:id="rId17">
        <w:r>
          <w:rPr>
            <w:rFonts w:ascii="Arial" w:eastAsia="Arial" w:hAnsi="Arial" w:cs="Arial"/>
            <w:color w:val="000000"/>
          </w:rPr>
          <w:t xml:space="preserve"> </w:t>
        </w:r>
      </w:hyperlink>
    </w:p>
    <w:p w:rsidR="00DE2D67" w:rsidRDefault="001B5420">
      <w:pPr>
        <w:spacing w:after="0" w:line="259" w:lineRule="auto"/>
        <w:ind w:left="0" w:right="0" w:firstLine="0"/>
        <w:jc w:val="center"/>
      </w:pPr>
      <w:r>
        <w:rPr>
          <w:rFonts w:ascii="Arial" w:eastAsia="Arial" w:hAnsi="Arial" w:cs="Arial"/>
          <w:color w:val="000000"/>
        </w:rPr>
        <w:t xml:space="preserve"> </w:t>
      </w:r>
    </w:p>
    <w:p w:rsidR="00DE2D67" w:rsidRDefault="001B5420">
      <w:pPr>
        <w:spacing w:after="0" w:line="259" w:lineRule="auto"/>
        <w:ind w:left="0" w:right="0" w:firstLine="0"/>
        <w:jc w:val="center"/>
      </w:pPr>
      <w:r>
        <w:rPr>
          <w:rFonts w:ascii="Arial" w:eastAsia="Arial" w:hAnsi="Arial" w:cs="Arial"/>
          <w:b/>
          <w:color w:val="000000"/>
          <w:sz w:val="18"/>
        </w:rPr>
        <w:t xml:space="preserve"> </w:t>
      </w:r>
    </w:p>
    <w:p w:rsidR="00DE2D67" w:rsidRDefault="001B5420">
      <w:pPr>
        <w:spacing w:after="0" w:line="259" w:lineRule="auto"/>
        <w:ind w:left="0" w:right="0" w:firstLine="0"/>
        <w:jc w:val="center"/>
      </w:pPr>
      <w:r>
        <w:rPr>
          <w:rFonts w:ascii="Arial" w:eastAsia="Arial" w:hAnsi="Arial" w:cs="Arial"/>
          <w:b/>
          <w:color w:val="000000"/>
          <w:sz w:val="18"/>
        </w:rPr>
        <w:t xml:space="preserve"> </w:t>
      </w:r>
    </w:p>
    <w:p w:rsidR="00DE2D67" w:rsidRDefault="001B5420">
      <w:pPr>
        <w:spacing w:after="0" w:line="259" w:lineRule="auto"/>
        <w:ind w:left="0" w:right="0" w:firstLine="0"/>
        <w:jc w:val="center"/>
      </w:pPr>
      <w:r>
        <w:rPr>
          <w:rFonts w:ascii="Arial" w:eastAsia="Arial" w:hAnsi="Arial" w:cs="Arial"/>
          <w:b/>
          <w:color w:val="000000"/>
          <w:sz w:val="18"/>
        </w:rPr>
        <w:t xml:space="preserve"> </w:t>
      </w:r>
    </w:p>
    <w:p w:rsidR="00DE2D67" w:rsidRDefault="001B5420">
      <w:pPr>
        <w:spacing w:after="0" w:line="259" w:lineRule="auto"/>
        <w:ind w:left="0" w:right="0" w:firstLine="0"/>
        <w:jc w:val="center"/>
      </w:pPr>
      <w:r>
        <w:rPr>
          <w:rFonts w:ascii="Arial" w:eastAsia="Arial" w:hAnsi="Arial" w:cs="Arial"/>
          <w:b/>
          <w:color w:val="000000"/>
          <w:sz w:val="18"/>
        </w:rPr>
        <w:t xml:space="preserve">Additional services and information for </w:t>
      </w:r>
      <w:r>
        <w:rPr>
          <w:rFonts w:ascii="Arial" w:eastAsia="Arial" w:hAnsi="Arial" w:cs="Arial"/>
          <w:b/>
          <w:i/>
          <w:color w:val="000000"/>
          <w:sz w:val="18"/>
        </w:rPr>
        <w:t>Gender &amp; Society</w:t>
      </w:r>
      <w:r>
        <w:rPr>
          <w:rFonts w:ascii="Arial" w:eastAsia="Arial" w:hAnsi="Arial" w:cs="Arial"/>
          <w:b/>
          <w:color w:val="000000"/>
          <w:sz w:val="18"/>
        </w:rPr>
        <w:t xml:space="preserve"> can be found at:</w:t>
      </w:r>
    </w:p>
    <w:p w:rsidR="00DE2D67" w:rsidRDefault="001B5420">
      <w:pPr>
        <w:spacing w:after="0" w:line="259" w:lineRule="auto"/>
        <w:ind w:left="0" w:right="0" w:firstLine="0"/>
        <w:jc w:val="center"/>
      </w:pPr>
      <w:r>
        <w:rPr>
          <w:rFonts w:ascii="Arial" w:eastAsia="Arial" w:hAnsi="Arial" w:cs="Arial"/>
          <w:color w:val="000000"/>
        </w:rPr>
        <w:t xml:space="preserve"> </w:t>
      </w:r>
    </w:p>
    <w:p w:rsidR="00DE2D67" w:rsidRDefault="001B5420">
      <w:pPr>
        <w:spacing w:after="0" w:line="265" w:lineRule="auto"/>
        <w:ind w:left="10" w:right="0" w:hanging="10"/>
        <w:jc w:val="center"/>
      </w:pPr>
      <w:r>
        <w:rPr>
          <w:rFonts w:ascii="Arial" w:eastAsia="Arial" w:hAnsi="Arial" w:cs="Arial"/>
          <w:b/>
          <w:color w:val="000000"/>
          <w:sz w:val="18"/>
        </w:rPr>
        <w:t xml:space="preserve">Email Alerts: </w:t>
      </w:r>
      <w:hyperlink r:id="rId18">
        <w:r>
          <w:rPr>
            <w:rFonts w:ascii="Arial" w:eastAsia="Arial" w:hAnsi="Arial" w:cs="Arial"/>
            <w:color w:val="0000FF"/>
            <w:sz w:val="18"/>
          </w:rPr>
          <w:t>http://gas.sagepub.com/cgi/alerts</w:t>
        </w:r>
      </w:hyperlink>
      <w:hyperlink r:id="rId19">
        <w:r>
          <w:rPr>
            <w:rFonts w:ascii="Arial" w:eastAsia="Arial" w:hAnsi="Arial" w:cs="Arial"/>
            <w:color w:val="000000"/>
          </w:rPr>
          <w:t xml:space="preserve"> </w:t>
        </w:r>
      </w:hyperlink>
    </w:p>
    <w:p w:rsidR="00DE2D67" w:rsidRDefault="001B5420">
      <w:pPr>
        <w:spacing w:after="0" w:line="259" w:lineRule="auto"/>
        <w:ind w:left="0" w:right="0" w:firstLine="0"/>
        <w:jc w:val="center"/>
      </w:pPr>
      <w:r>
        <w:rPr>
          <w:rFonts w:ascii="Arial" w:eastAsia="Arial" w:hAnsi="Arial" w:cs="Arial"/>
          <w:color w:val="000000"/>
        </w:rPr>
        <w:t xml:space="preserve"> </w:t>
      </w:r>
    </w:p>
    <w:p w:rsidR="00DE2D67" w:rsidRDefault="001B5420">
      <w:pPr>
        <w:spacing w:after="0" w:line="265" w:lineRule="auto"/>
        <w:ind w:left="10" w:right="0" w:hanging="10"/>
        <w:jc w:val="center"/>
      </w:pPr>
      <w:r>
        <w:rPr>
          <w:rFonts w:ascii="Arial" w:eastAsia="Arial" w:hAnsi="Arial" w:cs="Arial"/>
          <w:color w:val="000000"/>
        </w:rPr>
        <w:t xml:space="preserve"> </w:t>
      </w:r>
      <w:r>
        <w:rPr>
          <w:rFonts w:ascii="Arial" w:eastAsia="Arial" w:hAnsi="Arial" w:cs="Arial"/>
          <w:b/>
          <w:color w:val="000000"/>
          <w:sz w:val="18"/>
        </w:rPr>
        <w:t xml:space="preserve">Subscriptions: </w:t>
      </w:r>
      <w:hyperlink r:id="rId20">
        <w:r>
          <w:rPr>
            <w:rFonts w:ascii="Arial" w:eastAsia="Arial" w:hAnsi="Arial" w:cs="Arial"/>
            <w:color w:val="0000FF"/>
            <w:sz w:val="18"/>
          </w:rPr>
          <w:t>http://gas.sagepub.com/subscriptions</w:t>
        </w:r>
      </w:hyperlink>
      <w:hyperlink r:id="rId21">
        <w:r>
          <w:rPr>
            <w:rFonts w:ascii="Arial" w:eastAsia="Arial" w:hAnsi="Arial" w:cs="Arial"/>
            <w:color w:val="000000"/>
          </w:rPr>
          <w:t xml:space="preserve"> </w:t>
        </w:r>
      </w:hyperlink>
    </w:p>
    <w:p w:rsidR="00DE2D67" w:rsidRDefault="001B5420">
      <w:pPr>
        <w:spacing w:after="0" w:line="259" w:lineRule="auto"/>
        <w:ind w:left="0" w:right="0" w:firstLine="0"/>
        <w:jc w:val="center"/>
      </w:pPr>
      <w:r>
        <w:rPr>
          <w:rFonts w:ascii="Arial" w:eastAsia="Arial" w:hAnsi="Arial" w:cs="Arial"/>
          <w:color w:val="000000"/>
        </w:rPr>
        <w:t xml:space="preserve"> </w:t>
      </w:r>
    </w:p>
    <w:p w:rsidR="00DE2D67" w:rsidRDefault="001B5420">
      <w:pPr>
        <w:spacing w:after="0" w:line="265" w:lineRule="auto"/>
        <w:ind w:left="10" w:right="0" w:hanging="10"/>
        <w:jc w:val="center"/>
      </w:pPr>
      <w:r>
        <w:rPr>
          <w:rFonts w:ascii="Arial" w:eastAsia="Arial" w:hAnsi="Arial" w:cs="Arial"/>
          <w:b/>
          <w:color w:val="000000"/>
          <w:sz w:val="18"/>
        </w:rPr>
        <w:lastRenderedPageBreak/>
        <w:t xml:space="preserve">Reprints: </w:t>
      </w:r>
      <w:hyperlink r:id="rId22">
        <w:r>
          <w:rPr>
            <w:rFonts w:ascii="Arial" w:eastAsia="Arial" w:hAnsi="Arial" w:cs="Arial"/>
            <w:color w:val="0000FF"/>
            <w:sz w:val="18"/>
          </w:rPr>
          <w:t>http://www.sagepub.com/journalsReprints.nav</w:t>
        </w:r>
      </w:hyperlink>
      <w:hyperlink r:id="rId23">
        <w:r>
          <w:rPr>
            <w:rFonts w:ascii="Arial" w:eastAsia="Arial" w:hAnsi="Arial" w:cs="Arial"/>
            <w:color w:val="000000"/>
          </w:rPr>
          <w:t xml:space="preserve"> </w:t>
        </w:r>
      </w:hyperlink>
    </w:p>
    <w:p w:rsidR="00DE2D67" w:rsidRDefault="001B5420">
      <w:pPr>
        <w:spacing w:after="0" w:line="259" w:lineRule="auto"/>
        <w:ind w:left="0" w:right="0" w:firstLine="0"/>
        <w:jc w:val="center"/>
      </w:pPr>
      <w:r>
        <w:rPr>
          <w:rFonts w:ascii="Arial" w:eastAsia="Arial" w:hAnsi="Arial" w:cs="Arial"/>
          <w:color w:val="000000"/>
        </w:rPr>
        <w:t xml:space="preserve"> </w:t>
      </w:r>
    </w:p>
    <w:p w:rsidR="00DE2D67" w:rsidRDefault="001B5420">
      <w:pPr>
        <w:spacing w:after="0" w:line="265" w:lineRule="auto"/>
        <w:ind w:left="10" w:right="0" w:hanging="10"/>
        <w:jc w:val="center"/>
      </w:pPr>
      <w:r>
        <w:rPr>
          <w:rFonts w:ascii="Arial" w:eastAsia="Arial" w:hAnsi="Arial" w:cs="Arial"/>
          <w:b/>
          <w:color w:val="000000"/>
          <w:sz w:val="18"/>
        </w:rPr>
        <w:t xml:space="preserve">Permissions: </w:t>
      </w:r>
      <w:hyperlink r:id="rId24">
        <w:r>
          <w:rPr>
            <w:rFonts w:ascii="Arial" w:eastAsia="Arial" w:hAnsi="Arial" w:cs="Arial"/>
            <w:color w:val="0000FF"/>
            <w:sz w:val="18"/>
          </w:rPr>
          <w:t>http:/</w:t>
        </w:r>
        <w:r>
          <w:rPr>
            <w:rFonts w:ascii="Arial" w:eastAsia="Arial" w:hAnsi="Arial" w:cs="Arial"/>
            <w:color w:val="0000FF"/>
            <w:sz w:val="18"/>
          </w:rPr>
          <w:t>/www.sagepub.com/journalsPermissions.nav</w:t>
        </w:r>
      </w:hyperlink>
      <w:hyperlink r:id="rId25">
        <w:r>
          <w:rPr>
            <w:rFonts w:ascii="Arial" w:eastAsia="Arial" w:hAnsi="Arial" w:cs="Arial"/>
            <w:color w:val="000000"/>
          </w:rPr>
          <w:t xml:space="preserve"> </w:t>
        </w:r>
      </w:hyperlink>
    </w:p>
    <w:p w:rsidR="00DE2D67" w:rsidRDefault="001B5420">
      <w:pPr>
        <w:spacing w:after="0" w:line="259" w:lineRule="auto"/>
        <w:ind w:left="0" w:right="0" w:firstLine="0"/>
        <w:jc w:val="center"/>
      </w:pPr>
      <w:r>
        <w:rPr>
          <w:rFonts w:ascii="Arial" w:eastAsia="Arial" w:hAnsi="Arial" w:cs="Arial"/>
          <w:color w:val="000000"/>
        </w:rPr>
        <w:t xml:space="preserve"> </w:t>
      </w:r>
    </w:p>
    <w:p w:rsidR="00DE2D67" w:rsidRDefault="001B5420">
      <w:pPr>
        <w:spacing w:after="630" w:line="265" w:lineRule="auto"/>
        <w:ind w:left="10" w:right="0" w:hanging="10"/>
        <w:jc w:val="center"/>
      </w:pPr>
      <w:r>
        <w:rPr>
          <w:rFonts w:ascii="Arial" w:eastAsia="Arial" w:hAnsi="Arial" w:cs="Arial"/>
          <w:b/>
          <w:color w:val="000000"/>
          <w:sz w:val="18"/>
        </w:rPr>
        <w:t xml:space="preserve">Citations: </w:t>
      </w:r>
      <w:hyperlink r:id="rId26">
        <w:r>
          <w:rPr>
            <w:rFonts w:ascii="Arial" w:eastAsia="Arial" w:hAnsi="Arial" w:cs="Arial"/>
            <w:color w:val="0000FF"/>
            <w:sz w:val="18"/>
          </w:rPr>
          <w:t>http://gas.sagepub.com/content/24/3/355.refs.html</w:t>
        </w:r>
      </w:hyperlink>
      <w:hyperlink r:id="rId27">
        <w:r>
          <w:rPr>
            <w:rFonts w:ascii="Arial" w:eastAsia="Arial" w:hAnsi="Arial" w:cs="Arial"/>
            <w:color w:val="000000"/>
          </w:rPr>
          <w:t xml:space="preserve"> </w:t>
        </w:r>
      </w:hyperlink>
    </w:p>
    <w:p w:rsidR="00DE2D67" w:rsidRDefault="001B5420">
      <w:pPr>
        <w:spacing w:line="265" w:lineRule="auto"/>
        <w:ind w:left="10" w:right="0" w:hanging="10"/>
        <w:jc w:val="center"/>
      </w:pPr>
      <w:r>
        <w:rPr>
          <w:rFonts w:ascii="Arial" w:eastAsia="Arial" w:hAnsi="Arial" w:cs="Arial"/>
          <w:color w:val="000000"/>
        </w:rPr>
        <w:t xml:space="preserve">&gt;&gt; </w:t>
      </w:r>
      <w:hyperlink r:id="rId28">
        <w:r>
          <w:rPr>
            <w:rFonts w:ascii="Arial" w:eastAsia="Arial" w:hAnsi="Arial" w:cs="Arial"/>
            <w:color w:val="0000FF"/>
          </w:rPr>
          <w:t xml:space="preserve">Version of Record </w:t>
        </w:r>
      </w:hyperlink>
      <w:hyperlink r:id="rId29">
        <w:r>
          <w:rPr>
            <w:rFonts w:ascii="Arial" w:eastAsia="Arial" w:hAnsi="Arial" w:cs="Arial"/>
            <w:color w:val="000000"/>
          </w:rPr>
          <w:t>-</w:t>
        </w:r>
      </w:hyperlink>
      <w:r>
        <w:rPr>
          <w:rFonts w:ascii="Arial" w:eastAsia="Arial" w:hAnsi="Arial" w:cs="Arial"/>
          <w:color w:val="000000"/>
        </w:rPr>
        <w:t xml:space="preserve"> May 21, 2010</w:t>
      </w:r>
    </w:p>
    <w:p w:rsidR="00DE2D67" w:rsidRDefault="001B5420">
      <w:pPr>
        <w:spacing w:after="0" w:line="259" w:lineRule="auto"/>
        <w:ind w:left="0" w:right="0" w:firstLine="0"/>
        <w:jc w:val="center"/>
      </w:pPr>
      <w:r>
        <w:rPr>
          <w:rFonts w:ascii="Arial" w:eastAsia="Arial" w:hAnsi="Arial" w:cs="Arial"/>
          <w:color w:val="000000"/>
        </w:rPr>
        <w:t xml:space="preserve"> </w:t>
      </w:r>
    </w:p>
    <w:p w:rsidR="00DE2D67" w:rsidRDefault="001B5420">
      <w:pPr>
        <w:spacing w:line="265" w:lineRule="auto"/>
        <w:ind w:left="10" w:right="0" w:hanging="10"/>
        <w:jc w:val="center"/>
      </w:pPr>
      <w:hyperlink r:id="rId30">
        <w:r>
          <w:rPr>
            <w:rFonts w:ascii="Arial" w:eastAsia="Arial" w:hAnsi="Arial" w:cs="Arial"/>
            <w:color w:val="0000FF"/>
          </w:rPr>
          <w:t>What is This?</w:t>
        </w:r>
      </w:hyperlink>
      <w:hyperlink r:id="rId31">
        <w:r>
          <w:rPr>
            <w:rFonts w:ascii="Arial" w:eastAsia="Arial" w:hAnsi="Arial" w:cs="Arial"/>
            <w:color w:val="000000"/>
          </w:rPr>
          <w:t xml:space="preserve"> </w:t>
        </w:r>
      </w:hyperlink>
    </w:p>
    <w:p w:rsidR="00DE2D67" w:rsidRDefault="001B5420">
      <w:pPr>
        <w:spacing w:after="440" w:line="259" w:lineRule="auto"/>
        <w:ind w:left="10" w:right="1008" w:hanging="10"/>
        <w:jc w:val="right"/>
      </w:pPr>
      <w:r>
        <w:rPr>
          <w:b/>
          <w:i/>
          <w:sz w:val="32"/>
        </w:rPr>
        <w:t>GRINDING ON THE DANCE FLOOR</w:t>
      </w:r>
    </w:p>
    <w:p w:rsidR="00DE2D67" w:rsidRDefault="001B5420">
      <w:pPr>
        <w:spacing w:after="0" w:line="259" w:lineRule="auto"/>
        <w:ind w:left="10" w:right="1008" w:hanging="10"/>
        <w:jc w:val="right"/>
      </w:pPr>
      <w:r>
        <w:rPr>
          <w:b/>
          <w:i/>
          <w:sz w:val="32"/>
        </w:rPr>
        <w:t xml:space="preserve">Gendered Scripts and Sexualized </w:t>
      </w:r>
    </w:p>
    <w:p w:rsidR="00DE2D67" w:rsidRDefault="001B5420">
      <w:pPr>
        <w:spacing w:after="100" w:line="259" w:lineRule="auto"/>
        <w:ind w:left="10" w:right="1008" w:hanging="10"/>
        <w:jc w:val="right"/>
      </w:pPr>
      <w:r>
        <w:rPr>
          <w:b/>
          <w:i/>
          <w:sz w:val="32"/>
        </w:rPr>
        <w:t>Dancing at College Parties</w:t>
      </w:r>
    </w:p>
    <w:p w:rsidR="00DE2D67" w:rsidRDefault="001B5420">
      <w:pPr>
        <w:spacing w:after="0" w:line="265" w:lineRule="auto"/>
        <w:ind w:left="1018" w:right="0" w:hanging="10"/>
        <w:jc w:val="left"/>
      </w:pPr>
      <w:r>
        <w:rPr>
          <w:i/>
        </w:rPr>
        <w:t>SHELLY RONEN</w:t>
      </w:r>
    </w:p>
    <w:p w:rsidR="00DE2D67" w:rsidRDefault="001B5420">
      <w:pPr>
        <w:spacing w:after="459" w:line="265" w:lineRule="auto"/>
        <w:ind w:left="1018" w:right="0" w:hanging="10"/>
        <w:jc w:val="left"/>
      </w:pPr>
      <w:r>
        <w:rPr>
          <w:i/>
        </w:rPr>
        <w:t>Stanford University</w:t>
      </w:r>
    </w:p>
    <w:p w:rsidR="00DE2D67" w:rsidRDefault="001B5420">
      <w:pPr>
        <w:spacing w:after="475" w:line="262" w:lineRule="auto"/>
        <w:ind w:left="1016" w:right="1006" w:hanging="10"/>
      </w:pPr>
      <w:r>
        <w:rPr>
          <w:i/>
          <w:sz w:val="18"/>
        </w:rPr>
        <w:t xml:space="preserve">In this article, the author explores the gendered dynamics of “grinding,” sexualized dancing common at college parties. Drawing on the observations of student participant observers, the author describes the common script for initiating </w:t>
      </w:r>
      <w:r>
        <w:rPr>
          <w:i/>
          <w:sz w:val="18"/>
        </w:rPr>
        <w:t xml:space="preserve">this behavior. At these parties, men initiated more often and more directly than women, whose behaviors were shaped by a sexual double standard and (hetero-) relational imperative. The heterosexual grinding script enacts a gendered dynamic that reproduces </w:t>
      </w:r>
      <w:r>
        <w:rPr>
          <w:i/>
          <w:sz w:val="18"/>
        </w:rPr>
        <w:t>systematic gender inequality by limiting women’s access to sexual agency and pleasure, privileging men’s pleasure and confirming their higher status.</w:t>
      </w:r>
    </w:p>
    <w:p w:rsidR="00DE2D67" w:rsidRDefault="001B5420">
      <w:pPr>
        <w:tabs>
          <w:tab w:val="center" w:pos="1411"/>
          <w:tab w:val="center" w:pos="4006"/>
        </w:tabs>
        <w:spacing w:after="475" w:line="262" w:lineRule="auto"/>
        <w:ind w:left="0" w:right="0" w:firstLine="0"/>
        <w:jc w:val="left"/>
      </w:pPr>
      <w:r>
        <w:rPr>
          <w:rFonts w:ascii="Calibri" w:eastAsia="Calibri" w:hAnsi="Calibri" w:cs="Calibri"/>
          <w:color w:val="000000"/>
        </w:rPr>
        <w:tab/>
      </w:r>
      <w:r>
        <w:rPr>
          <w:b/>
          <w:i/>
          <w:sz w:val="18"/>
        </w:rPr>
        <w:t>Keywords:</w:t>
      </w:r>
      <w:r>
        <w:rPr>
          <w:i/>
          <w:sz w:val="18"/>
        </w:rPr>
        <w:t xml:space="preserve"> </w:t>
      </w:r>
      <w:r>
        <w:rPr>
          <w:i/>
          <w:sz w:val="18"/>
        </w:rPr>
        <w:tab/>
        <w:t>culture; men/masculinity; race; class; gender; sexuality</w:t>
      </w:r>
    </w:p>
    <w:p w:rsidR="00DE2D67" w:rsidRDefault="001B5420">
      <w:pPr>
        <w:spacing w:after="0" w:line="259" w:lineRule="auto"/>
        <w:ind w:left="1256" w:right="0" w:hanging="10"/>
        <w:jc w:val="left"/>
      </w:pPr>
      <w:r>
        <w:rPr>
          <w:sz w:val="18"/>
        </w:rPr>
        <w:t>I love the way you roll /on the dance</w:t>
      </w:r>
      <w:r>
        <w:rPr>
          <w:sz w:val="18"/>
        </w:rPr>
        <w:t xml:space="preserve"> floor</w:t>
      </w:r>
    </w:p>
    <w:p w:rsidR="00DE2D67" w:rsidRDefault="001B5420">
      <w:pPr>
        <w:spacing w:after="235" w:line="259" w:lineRule="auto"/>
        <w:ind w:left="1256" w:right="0" w:hanging="10"/>
        <w:jc w:val="left"/>
      </w:pPr>
      <w:r>
        <w:rPr>
          <w:sz w:val="18"/>
        </w:rPr>
        <w:t>Take it nice and slow /Anything goes</w:t>
      </w:r>
    </w:p>
    <w:p w:rsidR="00DE2D67" w:rsidRDefault="001B5420">
      <w:pPr>
        <w:spacing w:after="275" w:line="259" w:lineRule="auto"/>
        <w:ind w:left="0" w:right="1261" w:firstLine="0"/>
        <w:jc w:val="right"/>
      </w:pPr>
      <w:r>
        <w:rPr>
          <w:sz w:val="18"/>
        </w:rPr>
        <w:t>—Beretta ft. Hot Dolla, “Grind On Me”</w:t>
      </w:r>
    </w:p>
    <w:p w:rsidR="00DE2D67" w:rsidRDefault="001B5420">
      <w:r>
        <w:t>The lights are dim and the music loud, and university students at a campus-wide party engage in behaviors not to be mistaken for superficial social interaction and fun. The night goes on and the alcohol flows, students meet, flirt, and perhaps “hook up.” T</w:t>
      </w:r>
      <w:r>
        <w:t xml:space="preserve">he hookup is a common </w:t>
      </w:r>
      <w:r>
        <w:lastRenderedPageBreak/>
        <w:t xml:space="preserve">practice among contemporary university students that has received increasing </w:t>
      </w:r>
    </w:p>
    <w:p w:rsidR="00DE2D67" w:rsidRDefault="001B542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extent cx="1066800" cy="6350"/>
                <wp:effectExtent l="0" t="0" r="0" b="0"/>
                <wp:docPr id="17703" name="Group 17703"/>
                <wp:cNvGraphicFramePr/>
                <a:graphic xmlns:a="http://schemas.openxmlformats.org/drawingml/2006/main">
                  <a:graphicData uri="http://schemas.microsoft.com/office/word/2010/wordprocessingGroup">
                    <wpg:wgp>
                      <wpg:cNvGrpSpPr/>
                      <wpg:grpSpPr>
                        <a:xfrm>
                          <a:off x="0" y="0"/>
                          <a:ext cx="1066800" cy="6350"/>
                          <a:chOff x="0" y="0"/>
                          <a:chExt cx="1066800" cy="6350"/>
                        </a:xfrm>
                      </wpg:grpSpPr>
                      <wps:wsp>
                        <wps:cNvPr id="143" name="Shape 143"/>
                        <wps:cNvSpPr/>
                        <wps:spPr>
                          <a:xfrm>
                            <a:off x="0" y="0"/>
                            <a:ext cx="1066800" cy="0"/>
                          </a:xfrm>
                          <a:custGeom>
                            <a:avLst/>
                            <a:gdLst/>
                            <a:ahLst/>
                            <a:cxnLst/>
                            <a:rect l="0" t="0" r="0" b="0"/>
                            <a:pathLst>
                              <a:path w="1066800">
                                <a:moveTo>
                                  <a:pt x="0" y="0"/>
                                </a:moveTo>
                                <a:lnTo>
                                  <a:pt x="10668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703" style="width:84pt;height:0.5pt;mso-position-horizontal-relative:char;mso-position-vertical-relative:line" coordsize="10668,63">
                <v:shape id="Shape 143" style="position:absolute;width:10668;height:0;left:0;top:0;" coordsize="1066800,0" path="m0,0l1066800,0">
                  <v:stroke weight="0.5pt" endcap="flat" joinstyle="miter" miterlimit="10" on="true" color="#181717"/>
                  <v:fill on="false" color="#000000" opacity="0"/>
                </v:shape>
              </v:group>
            </w:pict>
          </mc:Fallback>
        </mc:AlternateContent>
      </w:r>
    </w:p>
    <w:p w:rsidR="00DE2D67" w:rsidRDefault="001B5420">
      <w:pPr>
        <w:spacing w:after="93" w:line="262" w:lineRule="auto"/>
        <w:ind w:left="1016" w:right="1006" w:hanging="10"/>
      </w:pPr>
      <w:r>
        <w:rPr>
          <w:sz w:val="18"/>
        </w:rPr>
        <w:t>AUTHORS’ NOTE:</w:t>
      </w:r>
      <w:r>
        <w:rPr>
          <w:i/>
          <w:sz w:val="18"/>
        </w:rPr>
        <w:t xml:space="preserve"> This research was supported by grants from Stanford University Vice Provost for Undergraduate Education. Thanks to Paula England, Ali Fogar</w:t>
      </w:r>
      <w:r>
        <w:rPr>
          <w:i/>
          <w:sz w:val="18"/>
        </w:rPr>
        <w:t>ty, Shelley Correll, and Cecilia Ridgeway. I am grateful to the editors and reviewers for their comments on earlier drafts of this article and the anonymous undergraduates who attended these parties. Enormous thanks to my family and friends, who encouraged</w:t>
      </w:r>
      <w:r>
        <w:rPr>
          <w:i/>
          <w:sz w:val="18"/>
        </w:rPr>
        <w:t xml:space="preserve"> me to see this through and continue to inspire me.</w:t>
      </w:r>
    </w:p>
    <w:p w:rsidR="00DE2D67" w:rsidRDefault="001B5420">
      <w:pPr>
        <w:spacing w:after="0" w:line="265" w:lineRule="auto"/>
        <w:ind w:left="1016" w:right="0" w:hanging="10"/>
        <w:jc w:val="left"/>
      </w:pPr>
      <w:r>
        <w:rPr>
          <w:sz w:val="16"/>
        </w:rPr>
        <w:t>GENDER &amp; SOCIETY, Vol. 24 No. 3, June 2010 355-377</w:t>
      </w:r>
    </w:p>
    <w:p w:rsidR="00DE2D67" w:rsidRDefault="001B5420">
      <w:pPr>
        <w:spacing w:after="0" w:line="265" w:lineRule="auto"/>
        <w:ind w:left="1016" w:right="0" w:hanging="10"/>
        <w:jc w:val="left"/>
      </w:pPr>
      <w:r>
        <w:rPr>
          <w:sz w:val="16"/>
        </w:rPr>
        <w:t>DOI: 10.1177/0891243210369894</w:t>
      </w:r>
    </w:p>
    <w:p w:rsidR="00DE2D67" w:rsidRDefault="001B5420">
      <w:pPr>
        <w:spacing w:after="301" w:line="265" w:lineRule="auto"/>
        <w:ind w:left="1016" w:right="0" w:hanging="10"/>
        <w:jc w:val="left"/>
      </w:pPr>
      <w:r>
        <w:rPr>
          <w:sz w:val="16"/>
        </w:rPr>
        <w:t>© 2010 by The Author(s)</w:t>
      </w:r>
    </w:p>
    <w:p w:rsidR="00DE2D67" w:rsidRDefault="001B5420">
      <w:pPr>
        <w:pStyle w:val="Heading1"/>
        <w:spacing w:after="0"/>
        <w:ind w:left="0" w:right="1021" w:firstLine="0"/>
        <w:jc w:val="right"/>
      </w:pPr>
      <w:r>
        <w:rPr>
          <w:sz w:val="16"/>
        </w:rPr>
        <w:t>355</w:t>
      </w:r>
    </w:p>
    <w:p w:rsidR="00DE2D67" w:rsidRDefault="001B5420">
      <w:pPr>
        <w:ind w:right="1020" w:firstLine="0"/>
      </w:pPr>
      <w:r>
        <w:t>attention in the past decade (Bogle 2008; England, Shafer, and Fogarty 2008; Glenn and Marquard</w:t>
      </w:r>
      <w:r>
        <w:t>t 2001; Paul and Hayes 2002; Paul, McManus, and Hayes 2000; Stepp 2007). As students use the term, a hookup can mean any sort of sexual encounter from kissing to intercourse (Bogle 2008; England and Thomas 2006; Glenn and Marquardt 2001; Paul, McManus, and</w:t>
      </w:r>
      <w:r>
        <w:t xml:space="preserve"> Hayes 2000). Some hookups occur on dance floors at parties, while others are initiated there but concluded in private. Hookups that occur on the dance floor, facilitated by alcohol consumption, are often preceded by the sexualized dancing known as “grindi</w:t>
      </w:r>
      <w:r>
        <w:t>ng.”</w:t>
      </w:r>
    </w:p>
    <w:p w:rsidR="00DE2D67" w:rsidRDefault="001B5420">
      <w:pPr>
        <w:ind w:right="1020"/>
      </w:pPr>
      <w:r>
        <w:t>Grinding is also known as “freaking,” “freak-dancing,” “dirty dancing,” “bumping,” and “booty-dancing.” This style of dancing is associated with club culture and hip-hop,</w:t>
      </w:r>
      <w:r>
        <w:rPr>
          <w:sz w:val="20"/>
          <w:vertAlign w:val="superscript"/>
        </w:rPr>
        <w:t>1</w:t>
      </w:r>
      <w:r>
        <w:t xml:space="preserve"> the type of music commonly played at mainstream college parties. When using the word</w:t>
      </w:r>
      <w:r>
        <w:t xml:space="preserve"> “grinding,” I mean to capture a common set of dancing behaviors that may nonetheless differ slightly across regions. Though different terms exist to refer to grinding, the sexualized nature of the dancing, and accompanying explicit gestures, are the defin</w:t>
      </w:r>
      <w:r>
        <w:t>ing characteristics. To date there has been little discussion of grinding in sociological literature, though it has been an object of interest in popular outlets, where parents sometimes express concern or outrage at what the Concerned Women for America ch</w:t>
      </w:r>
      <w:r>
        <w:t>aracterize as the “explosive combination of skimpy clothing and erotic dancing” (Kleder 2002). Teachers and principals have banned grinding from middle school or high school dances, presumably because it appears too erotic (DiPaola 2002). Away from their p</w:t>
      </w:r>
      <w:r>
        <w:t xml:space="preserve">arents’ prying eyes and disapproving minds, college students grind mostly free of denunciation. While some might argue grinding is </w:t>
      </w:r>
      <w:r>
        <w:rPr>
          <w:i/>
        </w:rPr>
        <w:t>just</w:t>
      </w:r>
      <w:r>
        <w:t xml:space="preserve"> dancing, I will argue grinding on the college dance floor is a kind of sexual act that carries significant, socially con</w:t>
      </w:r>
      <w:r>
        <w:t>structed meaning and may influence behavior in other settings.</w:t>
      </w:r>
    </w:p>
    <w:p w:rsidR="00DE2D67" w:rsidRDefault="001B5420">
      <w:pPr>
        <w:ind w:right="1020"/>
      </w:pPr>
      <w:r>
        <w:lastRenderedPageBreak/>
        <w:t>Grinding is more than just erotic dancing, just as Schwartz and Lever (1976) consider a social gathering to be more than merely fun sociation. In their study of the college mixer, they argue th</w:t>
      </w:r>
      <w:r>
        <w:t>at dating scripts “carry great meaning for the individual and the group” (1976, 414). In an ostensibly recreational setting, participants strive for a balance of vulnerability and self-protection. Grinders on the dance floor encounter the same challenges o</w:t>
      </w:r>
      <w:r>
        <w:t>f conveying both their openness to grinding and protecting themselves from potential damage to their self-image. They negotiate this status-grading social process and strive to conserve “interaction order” using stable interactional scripts (Gagnon 1990; G</w:t>
      </w:r>
      <w:r>
        <w:t>offman 1983; Simon and Gagnon 1973, 1986). Grinding is sociologically interesting because it is a public manifestation of contemporary heterosexual scripts, which are a crucial site for the reproduction of gender inequality.</w:t>
      </w:r>
    </w:p>
    <w:p w:rsidR="00DE2D67" w:rsidRDefault="00DE2D67">
      <w:pPr>
        <w:sectPr w:rsidR="00DE2D67">
          <w:headerReference w:type="even" r:id="rId32"/>
          <w:headerReference w:type="default" r:id="rId33"/>
          <w:footerReference w:type="even" r:id="rId34"/>
          <w:footerReference w:type="default" r:id="rId35"/>
          <w:headerReference w:type="first" r:id="rId36"/>
          <w:footerReference w:type="first" r:id="rId37"/>
          <w:pgSz w:w="8640" w:h="12960"/>
          <w:pgMar w:top="507" w:right="59" w:bottom="660" w:left="59" w:header="720" w:footer="519" w:gutter="0"/>
          <w:pgNumType w:start="354"/>
          <w:cols w:space="720"/>
          <w:titlePg/>
        </w:sectPr>
      </w:pPr>
    </w:p>
    <w:p w:rsidR="00DE2D67" w:rsidRDefault="001B5420">
      <w:pPr>
        <w:ind w:left="-15" w:right="2"/>
      </w:pPr>
      <w:r>
        <w:t>The stakes are high on dance floors as students try to accomplish “face</w:t>
      </w:r>
      <w:r>
        <w:t xml:space="preserve"> time,” get exposure (Stern, Callister and Jones 2005), and engage in “collective rituals of homosociality to perform heterosexual competence” (Grazian 2007, 237). “A range of threats to the bodies and selves” of potential grinders loom within the scripts </w:t>
      </w:r>
      <w:r>
        <w:t xml:space="preserve">of interactional possibilities (Snow, Robinson, and McCall 1991, 423). There is social danger in negotiating desires for and offers of grinding. One survival strategy for softening rejections and avoiding hostile reactions is “cooling out.” “Cooling out,” </w:t>
      </w:r>
      <w:r>
        <w:t xml:space="preserve">as Snow, Robinson, and McCall (1991) define the term, refers to the use of protective tactics to fend off unwanted advances, which minimize potential offense, therefore avoiding any “failure that reflects unfavorably” on the individual making the advance. </w:t>
      </w:r>
      <w:r>
        <w:t>Snow, Robinson, and McCall found cooling out strategies in nightclubs and drinking establishments, the public equivalents of the college party. They noted women in particular were likely to be in the cooling out role as a result of traditional “gender role</w:t>
      </w:r>
      <w:r>
        <w:t xml:space="preserve"> norms” (1991, 426).</w:t>
      </w:r>
    </w:p>
    <w:p w:rsidR="00DE2D67" w:rsidRDefault="001B5420">
      <w:pPr>
        <w:ind w:left="-15" w:right="2"/>
      </w:pPr>
      <w:r>
        <w:t>Though we might separate different sexual and romantic practices for some purposes, scripts governing interaction in one context, such as grinding, may continue into others, such as hooking up in private. Since Simon and Gagnon’s intro</w:t>
      </w:r>
      <w:r>
        <w:t>duction of script theory (1973, 1986), it has been applied to sexual behaviors (Reid and Bing 2000; Rostosky and Travis 2000), such as dates (Pryor and Merluzzi 1985), consensual heterosexual intercourse (Edgar and Fitzpatrick 1993; Geer and Broussard 1990</w:t>
      </w:r>
      <w:r>
        <w:t>), and coercion (Kurth, Spiller, and Travis 2000; Popovich et al. 1995). According to the theory, cultural scenarios, “the ordering of representations of self and other,” organize interpersonal scripts (Simon and Gagnon 1986, 97). In turn, these interperso</w:t>
      </w:r>
      <w:r>
        <w:t>nal scripts construct individual identities because sources of sexual interest depend upon intrapsychic scripting “embedded within the stereotyped interpersonal script” (Simon and Gagnon 1986, 118). The involvement of all three levels—cultural, interperson</w:t>
      </w:r>
      <w:r>
        <w:t>al, and intrapsychic—during scripted behavior leads Gagnon (1990, 1) to suggest that “potential changes in sexual conduct can emerge from changes at any level of scripting.”</w:t>
      </w:r>
    </w:p>
    <w:p w:rsidR="00DE2D67" w:rsidRDefault="001B5420">
      <w:pPr>
        <w:ind w:left="-15" w:right="2"/>
      </w:pPr>
      <w:r>
        <w:t>Simon and Gagnon (1973) were among the first to bring sociology to the study of sex, seeing it as socially constructed rather than “natural.” Ridgeway and Correll provide a rigorous sociological model for investigating gender relations in interactions that</w:t>
      </w:r>
      <w:r>
        <w:t xml:space="preserve"> may appear natural and voluntary. They argue interaction is a crucial site for the reproduction of gender and that even “voluntary choices are nevertheless socially constructed by the gender system, and must be analyzed as such” (2004, 524) (see also Engl</w:t>
      </w:r>
      <w:r>
        <w:t xml:space="preserve">and and Browne 1992; Martin 2004; Ridgeway and Smith-Lovin 1999). </w:t>
      </w:r>
    </w:p>
    <w:p w:rsidR="00DE2D67" w:rsidRDefault="001B5420">
      <w:pPr>
        <w:ind w:left="-15" w:right="2" w:firstLine="0"/>
      </w:pPr>
      <w:r>
        <w:t xml:space="preserve">Drawing on Sewell’s (1992) theory of structure, Ridgeway and Correll </w:t>
      </w:r>
    </w:p>
    <w:p w:rsidR="00DE2D67" w:rsidRDefault="001B5420">
      <w:pPr>
        <w:ind w:left="-15" w:right="2" w:firstLine="0"/>
      </w:pPr>
      <w:r>
        <w:t>(2004) identify widely shared gender stereotypes (Eagly, Wood, and Diekman 2000) as the “cultural rules or instructions</w:t>
      </w:r>
      <w:r>
        <w:t xml:space="preserve">” that are essential for enacting social structure. The gender system implicitly constructs interactional outcomes even in the face of other salient identities (Ridgeway 1997; Ridgeway, Johnson, and Diekama 1993). In studies of gendered interaction in the </w:t>
      </w:r>
      <w:r>
        <w:t>workplace, Ridgeway (1997, 221) found that “men’s traits are generally viewed as more valuable than women’s, and men are diffusely judged as more competent.” These status expectations implicitly affect behavior in a gendered way, resulting in gender inequa</w:t>
      </w:r>
      <w:r>
        <w:t xml:space="preserve">lity. In this article, I extend this argument to college sexual interactions, and specifically to grinding, demonstrating that “sexual interaction is a critical location for the production of gender difference and inequality” (Hamilton and Armstrong 2009, </w:t>
      </w:r>
      <w:r>
        <w:t>593).</w:t>
      </w:r>
    </w:p>
    <w:p w:rsidR="00DE2D67" w:rsidRDefault="001B5420">
      <w:pPr>
        <w:spacing w:after="553"/>
        <w:ind w:left="-15" w:right="2"/>
      </w:pPr>
      <w:r>
        <w:t>Research on college sex presents evidence for a double standard in which sexually agentic women are judged more harshly than men (Bogle 2008; Crawford and Popp 2003; England, Shafer, and Fogarty 2008; Risman and Schwartz 2002). Little research has ex</w:t>
      </w:r>
      <w:r>
        <w:t>amined double standards enforced on the dance floor. Using Ridgeway and Correll’s (2004) and Ridgeway’s (2009) models of the gender system, I present an interactionist analysis of the heterosexual scripts in this sexual arena. I systematically describe gri</w:t>
      </w:r>
      <w:r>
        <w:t>nding, as well as the gendered behaviors used to initiate it on the dance floor at college parties. I argue that gender beliefs, primed by heterosexual and heterosocial interaction, lead to a scripted interactional dynamic that as a gendered social process</w:t>
      </w:r>
      <w:r>
        <w:t xml:space="preserve"> reinforces gender inequality in sexuality. Though the culture of hookups implies consensuality and possibly even egalitarianism in the pursuit of short-term encounters and unattached intercourse, like other studies of hookups (Bogle 2008; Crawford and Pop</w:t>
      </w:r>
      <w:r>
        <w:t>p 2003; England, Shafer, and Fogarty 2008; Risman and Schwartz 2002), my analysis reveals that interactional scripts are subject to enduring gendered rules that restrict behavior and disadvantage women.</w:t>
      </w:r>
    </w:p>
    <w:p w:rsidR="00DE2D67" w:rsidRDefault="001B5420">
      <w:pPr>
        <w:pStyle w:val="Heading1"/>
        <w:spacing w:after="225"/>
        <w:jc w:val="center"/>
      </w:pPr>
      <w:r>
        <w:t>METHOD</w:t>
      </w:r>
    </w:p>
    <w:p w:rsidR="00DE2D67" w:rsidRDefault="001B5420">
      <w:pPr>
        <w:ind w:left="-15" w:right="2"/>
      </w:pPr>
      <w:r>
        <w:t>During the fall of 2006, I and a group of othe</w:t>
      </w:r>
      <w:r>
        <w:t xml:space="preserve">r undergraduate students at an elite, private university attended campus parties that were open to all undergraduate students and engaged in participant observation. Participant observers received several hours of training prior to their fieldwork through </w:t>
      </w:r>
      <w:r>
        <w:t>class lectures and online training regarding the rights of human subjects. Each investigator spent at least 90 minutes in the field and wrote field notes immediately upon returning home. The data on which I draw in this article are made up of multiple inve</w:t>
      </w:r>
      <w:r>
        <w:t>stigators’ (</w:t>
      </w:r>
      <w:r>
        <w:rPr>
          <w:i/>
        </w:rPr>
        <w:t>N</w:t>
      </w:r>
      <w:r>
        <w:t xml:space="preserve"> = 72) accounts of one time in the field, similar to Grazian’s ethnosurvey method (Grazian 2008). Students were instructed not to change their appearance or behavior from their norm and to respect the privacy of those being observed by avoidin</w:t>
      </w:r>
      <w:r>
        <w:t>g recording identifying details. The assignment allowed both participant observation and observation without participation. Fifty-three percent of participant observers were men and 47 percent were women. The racial makeup of the investigators was 50 perce</w:t>
      </w:r>
      <w:r>
        <w:t>nt white, 17 percent East Asian, 13 percent Black, 10 percent Hispanic, and 10 percent other groups. Typically, there were four observers at a single party. They blended in as participants at parties with estimated attendance ranging from 100 to 350. We do</w:t>
      </w:r>
      <w:r>
        <w:t xml:space="preserve"> not have any information about the racial makeup of students attending these events, but they were open to all undergraduates on campus. The racial makeup of the university in which this research took place at that time was 40 percent white, 25 percent As</w:t>
      </w:r>
      <w:r>
        <w:t>ian, 10 percent Black, 10 percent Hispanic, 11 percent other groups, and 4 percent unknown when this fieldwork was conducted (Common Data Set 2006).</w:t>
      </w:r>
    </w:p>
    <w:p w:rsidR="00DE2D67" w:rsidRDefault="001B5420">
      <w:pPr>
        <w:ind w:left="-15" w:right="2"/>
      </w:pPr>
      <w:r>
        <w:t>All fieldwork was conducted within a two-week window. I compiled these field notes and merged those that we</w:t>
      </w:r>
      <w:r>
        <w:t>re collected at the same or similar events. This analysis is based on data collected at mainstream parties: advertised through e-mail, posters, and word of mouth, they attracted the population of students particularly relevant to a study of heterosexual gr</w:t>
      </w:r>
      <w:r>
        <w:t>inding. I excluded counterculture, “alternative” events or settings</w:t>
      </w:r>
      <w:r>
        <w:rPr>
          <w:sz w:val="20"/>
          <w:vertAlign w:val="superscript"/>
        </w:rPr>
        <w:t>2</w:t>
      </w:r>
      <w:r>
        <w:t xml:space="preserve"> that were not conducive to dancing. The result was a sample of 72 documents, each collected by one student, from which I worked. Forty-seven percent (34 documents) were collected at five </w:t>
      </w:r>
      <w:r>
        <w:t>different fraternity parties. The remaining 53 percent (38 documents) were collected at campuswide events much like fraternity parties but hosted at non-“greek” residences, typically dorms. All parties included had similar music choices, available alcohol,</w:t>
      </w:r>
      <w:r>
        <w:t xml:space="preserve"> a designated dance floor, and DJ. Field notes included both description of general interaction and specific exemplary moments. All identifying information was removed or replaced so that the accounts were confidential. I coded the field notes using NVIVO </w:t>
      </w:r>
      <w:r>
        <w:t>7 software and compiled accounts of grinding and its initiation, acceptance, or rejection.</w:t>
      </w:r>
    </w:p>
    <w:p w:rsidR="00DE2D67" w:rsidRDefault="001B5420">
      <w:pPr>
        <w:spacing w:after="353"/>
        <w:ind w:left="-15" w:right="2"/>
      </w:pPr>
      <w:r>
        <w:t>I acknowledge the limitations of these data as collected within a specific portion of college social life at one school, at one time. This university is a private in</w:t>
      </w:r>
      <w:r>
        <w:t>stitution, on the West Coast, with a relatively privileged and mostly white and Asian student population. These patterns I observed may or may not apply in other university settings, though “grinding” has been described as a relatively ubiquitous part of h</w:t>
      </w:r>
      <w:r>
        <w:t>eterosexual culture among college students. Additionally, the method of participant observation restricted the amount of insight into students’ motivations. The majority of communication between observed dancers was nonverbal, and loud music prevented obse</w:t>
      </w:r>
      <w:r>
        <w:t>rvers from clearly hearing many conversations on the dance floor. Presumably better-acquainted students would have been more at ease to converse verbally and initiate hookups by those means, so I make no claims about what proportion of hookups start with s</w:t>
      </w:r>
      <w:r>
        <w:t>exualized dancing, except the observation from my extensive conversations with students at this university that grinding is a commonly accepted pathway to hooking up in this college culture. Another limitation of the study is the possibility that gender bi</w:t>
      </w:r>
      <w:r>
        <w:t>ases of the student participant observers colored their interpretations of events. While we cannot ignore this possibility, the course instructor attempted to limit it by instructing students to focus on observed behavior in their field notes, making clear</w:t>
      </w:r>
      <w:r>
        <w:t xml:space="preserve"> when they were guessing about motives.</w:t>
      </w:r>
    </w:p>
    <w:p w:rsidR="00DE2D67" w:rsidRDefault="001B5420">
      <w:pPr>
        <w:pStyle w:val="Heading1"/>
        <w:spacing w:after="225"/>
        <w:jc w:val="center"/>
      </w:pPr>
      <w:r>
        <w:t>THE</w:t>
      </w:r>
      <w:r>
        <w:t> </w:t>
      </w:r>
      <w:r>
        <w:t>LIFE</w:t>
      </w:r>
      <w:r>
        <w:t> </w:t>
      </w:r>
      <w:r>
        <w:t>CYCLE</w:t>
      </w:r>
      <w:r>
        <w:t> </w:t>
      </w:r>
      <w:r>
        <w:t>OF</w:t>
      </w:r>
      <w:r>
        <w:t> </w:t>
      </w:r>
      <w:r>
        <w:t>GRINDING</w:t>
      </w:r>
    </w:p>
    <w:p w:rsidR="00DE2D67" w:rsidRDefault="001B5420">
      <w:pPr>
        <w:spacing w:after="313"/>
        <w:ind w:left="-15" w:right="2"/>
      </w:pPr>
      <w:r>
        <w:t>In this section, I use accounts to portray a life cycle of the most common grinding interaction. Behaviors on the dance floor appear fluid and transition seamlessly. However, in this analys</w:t>
      </w:r>
      <w:r>
        <w:t>is they have been separated into stages: pregrinding behaviors, initiation, acceptance or rejection, and heterosexual dyadic grinding. I begin by characterizing the outcome of the script—a heterosexual dyad engaging in sexualized dancing known as grinding.</w:t>
      </w:r>
      <w:r>
        <w:t xml:space="preserve"> I then return to the behaviors that occur at the initial stage of the life cycle, prior to grinding dyads.</w:t>
      </w:r>
    </w:p>
    <w:p w:rsidR="00DE2D67" w:rsidRDefault="001B5420">
      <w:pPr>
        <w:pStyle w:val="Heading1"/>
        <w:ind w:left="-5" w:right="0"/>
      </w:pPr>
      <w:r>
        <w:t>Two</w:t>
      </w:r>
      <w:r>
        <w:t> </w:t>
      </w:r>
      <w:r>
        <w:t>Is</w:t>
      </w:r>
      <w:r>
        <w:t> </w:t>
      </w:r>
      <w:r>
        <w:t>Company:</w:t>
      </w:r>
      <w:r>
        <w:t> </w:t>
      </w:r>
      <w:r>
        <w:t>Heterosexual</w:t>
      </w:r>
      <w:r>
        <w:t> </w:t>
      </w:r>
      <w:r>
        <w:t>Dyadic</w:t>
      </w:r>
      <w:r>
        <w:t> </w:t>
      </w:r>
      <w:r>
        <w:t>Grinding</w:t>
      </w:r>
    </w:p>
    <w:p w:rsidR="00DE2D67" w:rsidRDefault="001B5420">
      <w:pPr>
        <w:ind w:left="-15" w:right="2"/>
      </w:pPr>
      <w:r>
        <w:t>Single-gender dancing in groups and grinding heterosexual dyads filled these dance floors. Successful i</w:t>
      </w:r>
      <w:r>
        <w:t>nstances of grinding dyad formation resulted from initiations in which a man approached a woman with the outcome of the pair dancing closely. No same-gender grinding initiations were observed;</w:t>
      </w:r>
      <w:r>
        <w:rPr>
          <w:sz w:val="20"/>
          <w:vertAlign w:val="superscript"/>
        </w:rPr>
        <w:t>3</w:t>
      </w:r>
      <w:r>
        <w:t xml:space="preserve"> nor were any same-gender hookups on the dance floor. Heterosex</w:t>
      </w:r>
      <w:r>
        <w:t>uality was implied by these grinding conventions. As I will demonstrate below, gender determines the separate spaces that men and women occupy at the outset of these interactions’ life cycle and later during the scripted form of initiation.</w:t>
      </w:r>
    </w:p>
    <w:p w:rsidR="00DE2D67" w:rsidRDefault="001B5420">
      <w:pPr>
        <w:ind w:left="-15" w:right="2"/>
      </w:pPr>
      <w:r>
        <w:t>Grinding, as it appeared at these parties, generally involved a woman rubbing her buttocks into a man’s groin and her back against his torso in a repetitive motion to the beat of the music. One account describes the most common formation, “they were genera</w:t>
      </w:r>
      <w:r>
        <w:t>lly grinding so that the girl’s back was to the guy’s front, and both parties were rolling their bodies in unison.” An alternative configuration involved the two partners facing one another and repetitively pushing their groins and chests into each others’</w:t>
      </w:r>
      <w:r>
        <w:t xml:space="preserve"> bodies. These two formations were sometimes interchangeable, but grinding dyads seemed to prefer the former configuration. Depending on the form of initiation, men were sometimes behind their grinding partner and sometimes facing them; “they started danci</w:t>
      </w:r>
      <w:r>
        <w:t>ng facing each other then the guy put his hands on the girl’s waist and spun her around to start grinding.” Grinding movements were accompanied by touching. In one account, “the boy began moving his hand up the side of her leg,” while in another, “his hand</w:t>
      </w:r>
      <w:r>
        <w:t>s started wandering over her breasts and waistline.” Sometimes the dyad leant against a wall while grinding, and “for the most part men are allowed to touch women in such ways that would otherwise be deemed inappropriate.” In both positions—whether face to</w:t>
      </w:r>
      <w:r>
        <w:t xml:space="preserve"> face or not—grinding involved miming, alluding to, and representing intercourse. “There [was] a lot of hip thrusting and in the pelvic regions, and the man and woman [were] always touching.” Observers commonly noted pelvic thrusts, repetitive vertical mov</w:t>
      </w:r>
      <w:r>
        <w:t xml:space="preserve">ements in friction with a partner’s body, and pressure on hips, buttocks, or breasts. One movement involved women leaning forward, while men placed their hands on their partner’s lower back, pushing her buttocks into his groin. One account made the sexual </w:t>
      </w:r>
      <w:r>
        <w:t>nature explicit: “they were dancing with girls like they were having sex . . . guys lift[ed] girls off the floor but most of the time they just thrust on the girls’ butts.”</w:t>
      </w:r>
    </w:p>
    <w:p w:rsidR="00DE2D67" w:rsidRDefault="001B5420">
      <w:pPr>
        <w:ind w:left="-15" w:right="2"/>
      </w:pPr>
      <w:r>
        <w:t xml:space="preserve">Men were predominantly the active partners. Women’s parts in grinding descriptions </w:t>
      </w:r>
      <w:r>
        <w:t>were limited to response. However, women generally appeared receptive to the movements once grinding had been initiated. According to one observer, “A lot of girls appeared to like it.” Dyads who danced together for longer showed more sexual interest; thei</w:t>
      </w:r>
      <w:r>
        <w:t>r moves became more suggestive and partners focused their attentions exclusively on each other. At one event, “by 1:00 a.m. the dance floor has largely emptied except for several couples, mostly visibly drunk, who were dancing especially closely and looked</w:t>
      </w:r>
      <w:r>
        <w:t xml:space="preserve"> likely to hook up later that night.”</w:t>
      </w:r>
    </w:p>
    <w:p w:rsidR="00DE2D67" w:rsidRDefault="001B5420">
      <w:pPr>
        <w:ind w:left="-15" w:right="2"/>
      </w:pPr>
      <w:r>
        <w:t>Observers noted kissing and fondling on the dance floor. Some students refer to these behaviors as a hookup.</w:t>
      </w:r>
      <w:r>
        <w:rPr>
          <w:sz w:val="20"/>
          <w:vertAlign w:val="superscript"/>
        </w:rPr>
        <w:t>4</w:t>
      </w:r>
      <w:r>
        <w:t xml:space="preserve"> Other grinding dyads also left the event together, possibly to hook up in private. “There were a few people </w:t>
      </w:r>
      <w:r>
        <w:t>who kept grinding and making out. These people typically exited the crowd much earlier than people who were dancing to the music. They usually moved to the balcony area or left the party entirely.” Other grinding dyads exchanged contact information. “A man</w:t>
      </w:r>
      <w:r>
        <w:t xml:space="preserve"> had asked [a] woman whom he had been dancing with if he could have her number. She agreed and . . . he told her that he would call her.”</w:t>
      </w:r>
    </w:p>
    <w:p w:rsidR="00DE2D67" w:rsidRDefault="001B5420">
      <w:pPr>
        <w:spacing w:after="213"/>
        <w:ind w:left="-15" w:right="2"/>
      </w:pPr>
      <w:r>
        <w:t>Though we did not carry our observations beyond the dance floor, certain specific gestures, along with dancing, obviou</w:t>
      </w:r>
      <w:r>
        <w:t>sly indicated sexual interest:</w:t>
      </w:r>
    </w:p>
    <w:p w:rsidR="00DE2D67" w:rsidRDefault="001B5420">
      <w:pPr>
        <w:spacing w:after="256" w:line="254" w:lineRule="auto"/>
        <w:ind w:left="240" w:right="257" w:firstLine="0"/>
      </w:pPr>
      <w:r>
        <w:rPr>
          <w:sz w:val="20"/>
        </w:rPr>
        <w:t>Men would approach beyond “normal” interpersonal distance, maintain more constant eye contact, reach out to grasp waists/hands in order to get attention . . . smile with increased frequency.</w:t>
      </w:r>
    </w:p>
    <w:p w:rsidR="00DE2D67" w:rsidRDefault="001B5420">
      <w:pPr>
        <w:spacing w:after="213"/>
        <w:ind w:left="-15" w:right="2" w:firstLine="0"/>
      </w:pPr>
      <w:r>
        <w:t>These intimate gestures and prolonged proximity suggested sexual interest. For example, according to one report,</w:t>
      </w:r>
    </w:p>
    <w:p w:rsidR="00DE2D67" w:rsidRDefault="001B5420">
      <w:pPr>
        <w:spacing w:after="256" w:line="254" w:lineRule="auto"/>
        <w:ind w:left="240" w:right="256" w:firstLine="0"/>
      </w:pPr>
      <w:r>
        <w:rPr>
          <w:sz w:val="20"/>
        </w:rPr>
        <w:t>The longer they danced, the closer they became. The guy even pulled one of her legs up and wrapped it around his waist as he was grinding on he</w:t>
      </w:r>
      <w:r>
        <w:rPr>
          <w:sz w:val="20"/>
        </w:rPr>
        <w:t>r against the wall. They danced for nearly three hours before I glanced back at them and they were kissing.</w:t>
      </w:r>
    </w:p>
    <w:p w:rsidR="00DE2D67" w:rsidRDefault="001B5420">
      <w:pPr>
        <w:ind w:left="-15" w:right="2" w:firstLine="0"/>
      </w:pPr>
      <w:r>
        <w:t>Grinding dyads appeared more likely interested in hooking up, which suggests grinding behaviors were significant means of sexual signaling.</w:t>
      </w:r>
    </w:p>
    <w:p w:rsidR="00DE2D67" w:rsidRDefault="001B5420">
      <w:pPr>
        <w:spacing w:after="213"/>
        <w:ind w:left="-15" w:right="2"/>
      </w:pPr>
      <w:r>
        <w:t>The prog</w:t>
      </w:r>
      <w:r>
        <w:t>ression from grinding to hooking up on the dance floor was not always seamless. As a demonstration of public sexuality, these behaviors were particularly fraught for women. One woman, having been grinding with and kissing a man, talked to her nearby friend</w:t>
      </w:r>
      <w:r>
        <w:t xml:space="preserve"> about the interaction.</w:t>
      </w:r>
    </w:p>
    <w:p w:rsidR="00DE2D67" w:rsidRDefault="001B5420">
      <w:pPr>
        <w:spacing w:after="256" w:line="254" w:lineRule="auto"/>
        <w:ind w:left="240" w:right="256" w:firstLine="0"/>
      </w:pPr>
      <w:r>
        <w:rPr>
          <w:sz w:val="20"/>
        </w:rPr>
        <w:t>“Oh my god . . . I can’t believe I just did that . . . I feel like a slut.” Her friend responded, “No you’re not, don’t worry you’re having fun!” The girl continued, “Everyone’s looking at me . . . they think I’m a slut,” and the fr</w:t>
      </w:r>
      <w:r>
        <w:rPr>
          <w:sz w:val="20"/>
        </w:rPr>
        <w:t>iend replied, “Who cares? . . . No they’re not . . . Just have fun.” After speaking with her friend, the girl began to make out with the guy again. . . . While the two students were making out, individuals in the vicinity gave them disapproving looks.</w:t>
      </w:r>
    </w:p>
    <w:p w:rsidR="00DE2D67" w:rsidRDefault="001B5420">
      <w:pPr>
        <w:ind w:left="-15" w:right="2" w:firstLine="0"/>
      </w:pPr>
      <w:r>
        <w:t xml:space="preserve">The </w:t>
      </w:r>
      <w:r>
        <w:t>distress this woman expressed implies that kissing this man on the dance floor was sexually meaningful; it carried significance enough for her to be judged as a “slut.” Furthermore, while she was worried by the prospect of being labeled a slut for her beha</w:t>
      </w:r>
      <w:r>
        <w:t>vior, she then returned to the activity. Both this woman and the disapproving onlookers are enforcing a double standard. The woman worried, probably with considerable justification, that she would be judged more harshly than her hookup partner. We can pres</w:t>
      </w:r>
      <w:r>
        <w:t>ume this woman was not in a prior relationship with the man she was kissing, by her expressed surprise to be kissing him at the party. No doubt, this aggravated the situation because she was in violation of the relational imperative, which holds that women</w:t>
      </w:r>
      <w:r>
        <w:t xml:space="preserve"> should only want to engage in sexual behaviors with someone in an attached relationship. This instance was a pressure point that revealed some of the conflicting gendered rules that structure behavior on the dance floor.</w:t>
      </w:r>
    </w:p>
    <w:p w:rsidR="00DE2D67" w:rsidRDefault="001B5420">
      <w:pPr>
        <w:ind w:left="-15" w:right="2"/>
      </w:pPr>
      <w:r>
        <w:t>Central to an analysis of grinding</w:t>
      </w:r>
      <w:r>
        <w:t xml:space="preserve"> is the question whether grinding is just a style of dance or a meaningful and intentional sexual act. In these observations, the music being played did affect students’ behaviors on the dance floor. Most songs encouraged grinding, but exceptions caused st</w:t>
      </w:r>
      <w:r>
        <w:t>udents to jump, point, and sing along. Such songs “had well-known dances associated with them, or a beat too fast to grind” and rarely encouraged the formation of grinding pairs. During certain songs, dancers already grinding in a pair “would immediately s</w:t>
      </w:r>
      <w:r>
        <w:t>eparate.” This suggests that lyrics and beat of the music determined dancing style. Though this might suggest grinding is merely a common style of dance, I suspect the relationship is more complex.</w:t>
      </w:r>
    </w:p>
    <w:p w:rsidR="00DE2D67" w:rsidRDefault="001B5420">
      <w:pPr>
        <w:spacing w:after="233"/>
        <w:ind w:left="-15" w:right="2"/>
      </w:pPr>
      <w:r>
        <w:t>The highly sexualized movements that characterize grinding</w:t>
      </w:r>
      <w:r>
        <w:t>, and the connection to hooking up both publicly and privately, make grinding socially meaningful, especially for women risking harsh judgments when violating sexual standards. Grinding provides insight into implicit gendered inequalities within scripts th</w:t>
      </w:r>
      <w:r>
        <w:t>at govern sexual interaction. These observations are even more powerful when considered in light of the larger sexual culture.</w:t>
      </w:r>
      <w:r>
        <w:rPr>
          <w:vertAlign w:val="superscript"/>
        </w:rPr>
        <w:t xml:space="preserve"> </w:t>
      </w:r>
      <w:r>
        <w:t>Though a full discussion of the effect of music on dancing is not within the scope of this article, music that encourages grindin</w:t>
      </w:r>
      <w:r>
        <w:t>g is a convenient facilitator of a public sexual act. The music legitimizes as dancing what might otherwise be seen as inappropriate public sexuality.</w:t>
      </w:r>
    </w:p>
    <w:p w:rsidR="00DE2D67" w:rsidRDefault="001B5420">
      <w:pPr>
        <w:pStyle w:val="Heading1"/>
        <w:ind w:left="-5" w:right="0"/>
      </w:pPr>
      <w:r>
        <w:t>Showing</w:t>
      </w:r>
      <w:r>
        <w:t> </w:t>
      </w:r>
      <w:r>
        <w:t>Off</w:t>
      </w:r>
      <w:r>
        <w:t> </w:t>
      </w:r>
      <w:r>
        <w:t>and</w:t>
      </w:r>
      <w:r>
        <w:t> </w:t>
      </w:r>
      <w:r>
        <w:t>Looking</w:t>
      </w:r>
      <w:r>
        <w:t> </w:t>
      </w:r>
      <w:r>
        <w:t>On:</w:t>
      </w:r>
      <w:r>
        <w:t> </w:t>
      </w:r>
      <w:r>
        <w:t>Gendered Display</w:t>
      </w:r>
      <w:r>
        <w:t> </w:t>
      </w:r>
      <w:r>
        <w:t>and</w:t>
      </w:r>
      <w:r>
        <w:t> </w:t>
      </w:r>
      <w:r>
        <w:t>Coded</w:t>
      </w:r>
      <w:r>
        <w:t> </w:t>
      </w:r>
      <w:r>
        <w:t>Space</w:t>
      </w:r>
      <w:r>
        <w:t> </w:t>
      </w:r>
      <w:r>
        <w:t>in</w:t>
      </w:r>
      <w:r>
        <w:t> </w:t>
      </w:r>
      <w:r>
        <w:t>Pregrinding</w:t>
      </w:r>
      <w:r>
        <w:t> </w:t>
      </w:r>
      <w:r>
        <w:t>Behaviors</w:t>
      </w:r>
    </w:p>
    <w:p w:rsidR="00DE2D67" w:rsidRDefault="001B5420">
      <w:pPr>
        <w:spacing w:after="213"/>
        <w:ind w:left="-15" w:right="2"/>
      </w:pPr>
      <w:r>
        <w:t>Gendered scripts de</w:t>
      </w:r>
      <w:r>
        <w:t xml:space="preserve">signated appropriate preinitiation behavior at these parties. The life cycle of a potential encounter on the dance floor generally progressed in several steps. Women entered the dance floor with their friends, mostly other women. The dance floor initially </w:t>
      </w:r>
      <w:r>
        <w:t>held “mostly girls [dancing] with other girls.” These women were not invited onto the dance floor by anyone. Verbal requests to dance were not necessary, unlike the conventions of Berk’s (1977) singles dance. Nor were women expected to depend on male-initi</w:t>
      </w:r>
      <w:r>
        <w:t xml:space="preserve">ated “protocols” such as those Bailey (1988, 35) discusses in a history of American courtship. On these dance floors, unattached women were not just granted access; they assumed ownership of the space. These women would be best described as dancing </w:t>
      </w:r>
      <w:r>
        <w:rPr>
          <w:i/>
        </w:rPr>
        <w:t>near</w:t>
      </w:r>
      <w:r>
        <w:t xml:space="preserve"> on</w:t>
      </w:r>
      <w:r>
        <w:t xml:space="preserve">e other, rather than </w:t>
      </w:r>
      <w:r>
        <w:rPr>
          <w:i/>
        </w:rPr>
        <w:t>with</w:t>
      </w:r>
      <w:r>
        <w:t xml:space="preserve"> one other.</w:t>
      </w:r>
    </w:p>
    <w:p w:rsidR="00DE2D67" w:rsidRDefault="001B5420">
      <w:pPr>
        <w:spacing w:after="256" w:line="254" w:lineRule="auto"/>
        <w:ind w:left="240" w:right="256" w:firstLine="0"/>
      </w:pPr>
      <w:r>
        <w:rPr>
          <w:sz w:val="20"/>
        </w:rPr>
        <w:t>Same-sex groups . . . initiated, invented, and participated in dancing games and challenges. For example, a group of 10 women formed a circle and started a game where one person had to jump inside the circle and perform</w:t>
      </w:r>
      <w:r>
        <w:rPr>
          <w:sz w:val="20"/>
        </w:rPr>
        <w:t xml:space="preserve"> a dance move. The next woman had to repeat the move and then invent one herself. . . . This continued until someone forgot or failed to complete the sequence satisfactorily, at which point laughter erupted and the game restarted or the person was eliminat</w:t>
      </w:r>
      <w:r>
        <w:rPr>
          <w:sz w:val="20"/>
        </w:rPr>
        <w:t>ed.</w:t>
      </w:r>
    </w:p>
    <w:p w:rsidR="00DE2D67" w:rsidRDefault="001B5420">
      <w:pPr>
        <w:ind w:left="-15" w:right="2" w:firstLine="0"/>
      </w:pPr>
      <w:r>
        <w:t>Women’s group dancing was nevertheless suggestive. Women moved their “hips seductively,” drawing attention to their bodies while dancing without a partner. Their movements were “independent of each other” but in close proximity. This form of dancing di</w:t>
      </w:r>
      <w:r>
        <w:t>ffered from heterosexual grinding in that most women stayed further away from each other than in grinding dyads, and avoided prolonged eye contact with their fellow dancers. Women often moved among their groups, rotating through closer proximity with diffe</w:t>
      </w:r>
      <w:r>
        <w:t>rent women throughout.</w:t>
      </w:r>
    </w:p>
    <w:p w:rsidR="00DE2D67" w:rsidRDefault="001B5420">
      <w:pPr>
        <w:ind w:left="-15" w:right="2"/>
      </w:pPr>
      <w:r>
        <w:t>Pairs or groups of women sometimes mimicked heterosexual grinding and “danc[ed] on each other” or in “mini circles.” They synchronized movements dancing closely back to back, or in the formation normally taken by a man and a woman. T</w:t>
      </w:r>
      <w:r>
        <w:t>hese displays between women both already on the dance floor, however, were temporary and “often accompanied by jokes and laughing with each other so they were not as sexually charged,” suggesting they were acts of pretence—display—not genuine interest in g</w:t>
      </w:r>
      <w:r>
        <w:t>rinding with other women. One observer noted, “any female-on-female dancing I observed was presumed to be playful friendly interactions, as this is a common socially accepted occurrence as well as a method of attracting male attention.”</w:t>
      </w:r>
    </w:p>
    <w:p w:rsidR="00DE2D67" w:rsidRDefault="001B5420">
      <w:pPr>
        <w:ind w:left="-15" w:right="2"/>
      </w:pPr>
      <w:r>
        <w:t>Group dancing seeme</w:t>
      </w:r>
      <w:r>
        <w:t>d designed to display these women’s sexi</w:t>
      </w:r>
      <w:r>
        <w:rPr>
          <w:i/>
        </w:rPr>
        <w:t>ness</w:t>
      </w:r>
      <w:r>
        <w:t xml:space="preserve"> for onlookers, rather than sexual interest between them. All group dancing, including mock-grinding dyads, involved suggestive gestures and open body language that welcomed initiation from men. These displays we</w:t>
      </w:r>
      <w:r>
        <w:t>re visible enough such that men who were “awkwardly standing around the perimeter” could see them. Indeed, women were usually close enough to see their audiences. Men talked while at the outskirts, standing and facing in towards the dance floor. “There wer</w:t>
      </w:r>
      <w:r>
        <w:t>e about a dozen males leaning against the wall of the dance room either watching dancers or talking among themselves in small groups.” Others filed through the dance floors looking for women they knew or wanted to dance with; “guys seemed to prowl the exte</w:t>
      </w:r>
      <w:r>
        <w:t>rior of the dance floor peering in at the different groups of girls searching for a girl to dance with.” Women used their bodies provocatively to encourage initiation. But they depended ultimately on men to approach; and far from being a transgressive indi</w:t>
      </w:r>
      <w:r>
        <w:t>cation of same-sex interest, women dancing with other women reinforced the heterosexuality of grinding conduct (Hamilton 2007).</w:t>
      </w:r>
    </w:p>
    <w:p w:rsidR="00DE2D67" w:rsidRDefault="001B5420">
      <w:pPr>
        <w:spacing w:after="233"/>
        <w:ind w:left="-15" w:right="2"/>
      </w:pPr>
      <w:r>
        <w:t>While women appeared to enjoy the dancing, entering the dance floor without grinding partners, men never danced together in grou</w:t>
      </w:r>
      <w:r>
        <w:t>ps. Men depended on the women for motivation to leave the perimeter of the floor. Goal-oriented grinding initiations were the predominant reason for a man’s entrance onto the dance floor. The threat of being labeled as gay was too great and presumably dama</w:t>
      </w:r>
      <w:r>
        <w:t>ging to heterosexual grinding initiation prospects. At one event, groups of men sought confirmation that there were women on the dance floor whom they knew before they joined in with the dancing. They “walk[ed] around the party until they recognized a fema</w:t>
      </w:r>
      <w:r>
        <w:t>le they were familiar with, at which point they began dancing.” Men sometimes looked for acquaintances on the dance floor, presumably to increase their chances of successful grinding initiation. In contrast, women danced without particular targets. The dif</w:t>
      </w:r>
      <w:r>
        <w:t>ference between single gender dancing for men and women highlights the gendered nature of homophobia. Men presumably avoided dancing with other men because this might signal homosexuality, while women dancing with each other did not signal lesbianism. Rath</w:t>
      </w:r>
      <w:r>
        <w:t>er, women mimicking sexualized dancing functions as same-sex eroticism intended “for an audience of heterosexual men” (Hamilton 2007, 164). The performance of hegemonic masculinity leads to homophobia, as men reassert their own masculinity by ridiculing “m</w:t>
      </w:r>
      <w:r>
        <w:t>en whom they perceive as not masculine” (Hamilton 2007, 146). Also, men entered the dance floor in individualistic, goal-oriented terms—to initiate—whereas women were communally engaged in group grinding. These motives were compatible with implicit expecta</w:t>
      </w:r>
      <w:r>
        <w:t>tions about gendered homosocial behaviors.</w:t>
      </w:r>
    </w:p>
    <w:p w:rsidR="00DE2D67" w:rsidRDefault="001B5420">
      <w:pPr>
        <w:pStyle w:val="Heading1"/>
        <w:ind w:left="-5" w:right="0"/>
      </w:pPr>
      <w:r>
        <w:t>Making</w:t>
      </w:r>
      <w:r>
        <w:t> </w:t>
      </w:r>
      <w:r>
        <w:t>a</w:t>
      </w:r>
      <w:r>
        <w:t> </w:t>
      </w:r>
      <w:r>
        <w:t>Move:</w:t>
      </w:r>
      <w:r>
        <w:t> </w:t>
      </w:r>
      <w:r>
        <w:t>Initiation</w:t>
      </w:r>
    </w:p>
    <w:p w:rsidR="00DE2D67" w:rsidRDefault="001B5420">
      <w:pPr>
        <w:spacing w:after="213"/>
        <w:ind w:left="-15" w:right="2"/>
      </w:pPr>
      <w:r>
        <w:t xml:space="preserve">Women were more often responsible for encouraging others to join them. This was done both directly and indirectly. Women took the center of the dance floor, making the space seem crowded </w:t>
      </w:r>
      <w:r>
        <w:t>and popular. They encouraged others to join the dancing simply by being there, as well as gesturing to friends and pulling them onto the floor.</w:t>
      </w:r>
    </w:p>
    <w:p w:rsidR="00DE2D67" w:rsidRDefault="001B5420">
      <w:pPr>
        <w:spacing w:after="256" w:line="254" w:lineRule="auto"/>
        <w:ind w:left="240" w:right="257" w:firstLine="0"/>
      </w:pPr>
      <w:r>
        <w:rPr>
          <w:sz w:val="20"/>
        </w:rPr>
        <w:t>One girl, apparently getting frustrated with the lack of male involvement, walked over to a group of four men and said to them, “There are tons of hot girls waiting for you to dance with them. What are you waiting for?”</w:t>
      </w:r>
    </w:p>
    <w:p w:rsidR="00DE2D67" w:rsidRDefault="001B5420">
      <w:pPr>
        <w:ind w:left="-15" w:right="2" w:firstLine="0"/>
      </w:pPr>
      <w:r>
        <w:t>Verbal encouragements were interpret</w:t>
      </w:r>
      <w:r>
        <w:t>ed as general, not specific, and sometimes resulted in men entering the dance floor. A “what are you waiting for?” was not a direct invitation to dance with this woman, although she may have been conveying interest. The more common form of individual initi</w:t>
      </w:r>
      <w:r>
        <w:t>ation was nonverbal.</w:t>
      </w:r>
    </w:p>
    <w:p w:rsidR="00DE2D67" w:rsidRDefault="001B5420">
      <w:pPr>
        <w:spacing w:after="213"/>
        <w:ind w:left="-15" w:right="2"/>
      </w:pPr>
      <w:r>
        <w:t>Direct requests to dance, verbal or otherwise, were extremely unusual. When women initiated, they risked punishment for their gender incongruent agency. One example of such initiation reveals the boundary for women’s behavior, in an ex</w:t>
      </w:r>
      <w:r>
        <w:t>ceptional account that underlines the rule.</w:t>
      </w:r>
    </w:p>
    <w:p w:rsidR="00DE2D67" w:rsidRDefault="001B5420">
      <w:pPr>
        <w:spacing w:after="256" w:line="254" w:lineRule="auto"/>
        <w:ind w:left="240" w:right="257" w:firstLine="0"/>
      </w:pPr>
      <w:r>
        <w:rPr>
          <w:sz w:val="20"/>
        </w:rPr>
        <w:t>A very slutty sailor girl tried to pull a guy from the courtyard to the dance floor . . . it was clear that she was quite intoxicated. Initially it seemed like the guy was enjoying himself but as her dancing beca</w:t>
      </w:r>
      <w:r>
        <w:rPr>
          <w:sz w:val="20"/>
        </w:rPr>
        <w:t>me more and more sexually intense, he bolted.</w:t>
      </w:r>
    </w:p>
    <w:p w:rsidR="00DE2D67" w:rsidRDefault="001B5420">
      <w:pPr>
        <w:spacing w:after="313"/>
        <w:ind w:left="-15" w:right="2" w:firstLine="0"/>
      </w:pPr>
      <w:r>
        <w:t>In this case the man was put off by this woman’s direct initiation. The student observer, also a man, was judgmental of her behavior, describing her as “slutty” despite the instruction to be objective in his field notes. This ethnographer and the man invol</w:t>
      </w:r>
      <w:r>
        <w:t>ved in the grinding are enforcing the implied gendered double standard. Women should be dancing, mimicking sexualized movements with friends, and displaying their sexiness as expressions of desirability. They should desire grinding initiations, but they sh</w:t>
      </w:r>
      <w:r>
        <w:t>ould be objects rather than agents. A woman’s direct initiation is a behavior that must be excused with reasons such as intoxication or understood as the result of her loose morals.</w:t>
      </w:r>
    </w:p>
    <w:p w:rsidR="00DE2D67" w:rsidRDefault="001B5420">
      <w:pPr>
        <w:pStyle w:val="Heading1"/>
        <w:ind w:left="-5" w:right="0"/>
      </w:pPr>
      <w:r>
        <w:t>Get</w:t>
      </w:r>
      <w:r>
        <w:t> </w:t>
      </w:r>
      <w:r>
        <w:t>Close</w:t>
      </w:r>
      <w:r>
        <w:t> </w:t>
      </w:r>
      <w:r>
        <w:t>and</w:t>
      </w:r>
      <w:r>
        <w:t> </w:t>
      </w:r>
      <w:r>
        <w:t>Anything</w:t>
      </w:r>
      <w:r>
        <w:t> </w:t>
      </w:r>
      <w:r>
        <w:t>Goes:</w:t>
      </w:r>
      <w:r>
        <w:t> </w:t>
      </w:r>
      <w:r>
        <w:t>Acceptance</w:t>
      </w:r>
    </w:p>
    <w:p w:rsidR="00DE2D67" w:rsidRDefault="001B5420">
      <w:pPr>
        <w:ind w:left="-15" w:right="2"/>
      </w:pPr>
      <w:r>
        <w:t>Since erotic movements were the st</w:t>
      </w:r>
      <w:r>
        <w:t>andard form of grinding, mere engagement in the dancing did not necessarily imply grinders’ sexual interest in dance partners. Rather, students signaled interest by allowing proximity to others and sustaining grinding for longer. Some women “danced provoca</w:t>
      </w:r>
      <w:r>
        <w:t>tively, but refused to dance with a partner.” The incongruence between their dancing style and their actual interest in grinding highlights the ambiguity of sexualized dance displays. They are a meaningful mode of signaling to encourage initiations and yet</w:t>
      </w:r>
      <w:r>
        <w:t xml:space="preserve"> provide women with a safety of a ubiquitous dancing style. In this sense, women are protected from the responsibility of directly encouraging an initiation. Also at play is the restrictive relational imperative, making grinding with a stranger a riskier c</w:t>
      </w:r>
      <w:r>
        <w:t>hoice than dancing provocatively with friends.</w:t>
      </w:r>
    </w:p>
    <w:p w:rsidR="00DE2D67" w:rsidRDefault="001B5420">
      <w:pPr>
        <w:ind w:left="-15" w:right="2"/>
      </w:pPr>
      <w:r>
        <w:t>Observed initiation scripts were in some ways similar to a traditional request to dance. In the traditional formal dance the initiator is a man, and once he begins dancing with his partner or cuts in, he is “r</w:t>
      </w:r>
      <w:r>
        <w:t>esponsible for the woman until she [is] taken over by another partner” (Bailey 1988, 31). At our observed events, “requests” took the form of an approach rather than the traditional verbal invitation. There was “no clear form of asking for a dance . . . pe</w:t>
      </w:r>
      <w:r>
        <w:t>ople simply pressed up on each other.” At one fraternity event—where men were also explicit hosts—they “were doing most of the initiation.” But in fact the same pattern of mostly male initiation was observed at all the parties, whether hosted by fraterniti</w:t>
      </w:r>
      <w:r>
        <w:t xml:space="preserve">es or coed dormitories. In virtually all cases observed, initiation was instigated by men, and verbal requests were unusual. Men entered the dance floor and danced their way towards women. Men did not speak, but attempted close physical contact with their </w:t>
      </w:r>
      <w:r>
        <w:t>chosen targets. Initiators never approached a woman if she was grinding with another man, presumably because this was a sufficient tie-sign. Entrance into a woman’s immediate surrounding space was interpreted as interest in forming a grinding dyad. In most</w:t>
      </w:r>
      <w:r>
        <w:t xml:space="preserve"> cases, one man approached a group of women and selected one woman with whom to make contact. Alternatively, a group of men approached a group of women.</w:t>
      </w:r>
    </w:p>
    <w:p w:rsidR="00DE2D67" w:rsidRDefault="001B5420">
      <w:pPr>
        <w:ind w:left="-15" w:right="2"/>
      </w:pPr>
      <w:r>
        <w:t>To form a grinding pair, men and women communicated nonverbally by use of body language and facial expr</w:t>
      </w:r>
      <w:r>
        <w:t>essions, a characteristic feature of the contemporary hookup culture (Bogle 2008). During this tense period of negotiation, women deliberately controlled their space and attention. Loaded gestures included drawing closer to or further from an initiator and</w:t>
      </w:r>
      <w:r>
        <w:t xml:space="preserve"> avoiding or reciprocating eye contact and smiles. Women “would signal acceptance by laughing or touching lightly.” Ethnographers did not portray women as powerless in these interactions. At one event there was a “large number of guys [for every] one girl.</w:t>
      </w:r>
      <w:r>
        <w:t xml:space="preserve"> Girls here seemed to have all of the power.” However, this kind of statistical power—in which women had abundant choice—was dependent on men: women’s power was only accessible once men approached. The line for women’s agency was drawn at initiation, as th</w:t>
      </w:r>
      <w:r>
        <w:t>ey could only be powerful by submitting or withholding their bodies from initiating men. Once approached, therefore, women would choose compliance or cessation.</w:t>
      </w:r>
    </w:p>
    <w:p w:rsidR="00DE2D67" w:rsidRDefault="001B5420">
      <w:pPr>
        <w:spacing w:after="213"/>
        <w:ind w:left="-15" w:right="2"/>
      </w:pPr>
      <w:r>
        <w:t>Conversely, men’s scripts offered little to no signaling prior to forming grinding dyads. In ra</w:t>
      </w:r>
      <w:r>
        <w:t>re instances when women approached and initiated, men “convey[ed] their intentions with the women by scaling up or down the sexuality of the dancing.” Those few men who were disinterested in their grinding partners demonstrated nonverbal behaviors that rev</w:t>
      </w:r>
      <w:r>
        <w:t>ealed the rule.</w:t>
      </w:r>
    </w:p>
    <w:p w:rsidR="00DE2D67" w:rsidRDefault="001B5420">
      <w:pPr>
        <w:spacing w:after="256" w:line="254" w:lineRule="auto"/>
        <w:ind w:left="240" w:right="256" w:firstLine="0"/>
      </w:pPr>
      <w:r>
        <w:rPr>
          <w:sz w:val="20"/>
        </w:rPr>
        <w:t>If the guy was only dancing for fun, he would often raise his arms from the girl’s hips in order to show that he was only having fun and didn’t want it to be sexual [or] didn’t want to get aroused.</w:t>
      </w:r>
    </w:p>
    <w:p w:rsidR="00DE2D67" w:rsidRDefault="001B5420">
      <w:pPr>
        <w:ind w:left="-15" w:right="2" w:firstLine="0"/>
      </w:pPr>
      <w:r>
        <w:t>Such men avoided grinding in a remote part</w:t>
      </w:r>
      <w:r>
        <w:t xml:space="preserve"> of the dance floor, preferring instead to stay close to other friends. Any increased privacy might have signaled interest; “Guys talked to nearby friends more when not interested.” Conversely, they were “quiet and focused on their body movements” when int</w:t>
      </w:r>
      <w:r>
        <w:t>erested. Observed scripts seemed inflexible: When men violated expectations, such as not wanting to grind with willing women, they did not have a clear course to reject. Finding themselves dancing with women, men danced passively so as to perform the expec</w:t>
      </w:r>
      <w:r>
        <w:t>ted scripted behavior, while at the same time rejecting or preventing further pursuit.</w:t>
      </w:r>
    </w:p>
    <w:p w:rsidR="00DE2D67" w:rsidRDefault="001B5420">
      <w:pPr>
        <w:ind w:left="-15" w:right="2"/>
      </w:pPr>
      <w:r>
        <w:t>Men approaching a woman controlled how much warning she received before the enforced proximity. When approaching from the front, men could seek some degree of permission</w:t>
      </w:r>
      <w:r>
        <w:t>, or at least provide women with a warning. Despite loud music and dark settings, some men sought a woman’s attention. These approaches sometimes included “minimal conversation,” but most often men sought eye contact and open body language that “demonstrat</w:t>
      </w:r>
      <w:r>
        <w:t>ed a woman’s availability.” If approaching from the back, men gave women little warning. In a surprise initiation, there was no opportunity to give permission, directly or otherwise. This surprise approach was, in fact, the most common one: most women were</w:t>
      </w:r>
      <w:r>
        <w:t xml:space="preserve"> not aware of the initiation until physical contact. Men “just crept up on girls and started thrusting.” Some men were sometimes labeled “creepers” and were frowned upon. Men labeled as creepers often elicited looks of “disgust as women moved away.” Men wh</w:t>
      </w:r>
      <w:r>
        <w:t>o went “behind a female and grabb[ed] her and [started] grinding” were not as successful as those who initiated some eye contact and “small talk.” Women more likely rebuffed them with “defensive tactics” (Snow, Robinson, and McCall 1991), by “pull[ing] the</w:t>
      </w:r>
      <w:r>
        <w:t>ir unknowing friend towards them and shift[ing] away from the guy.”</w:t>
      </w:r>
    </w:p>
    <w:p w:rsidR="00DE2D67" w:rsidRDefault="001B5420">
      <w:pPr>
        <w:ind w:left="-15" w:right="2"/>
      </w:pPr>
      <w:r>
        <w:t>Why did men choose the surprise approach most often? Whether men were interpreting invitations to initiate in women’s behaviors, enjoyed making women feel uncomfortable, or were simply too</w:t>
      </w:r>
      <w:r>
        <w:t xml:space="preserve"> inept to approach women more directly, we cannot be certain. It is certainly a puzzling observation, given that surprise approaches were rarely successful. Men appeared to assume women were open to being approached on the dance floor. Snow et al. (1991, 4</w:t>
      </w:r>
      <w:r>
        <w:t>28) suggest that “public accessibility of women is . . . heightened” in drinking establishments. This might be the case at college parties: a dynamic setting that makes all women “fair game” by virtue of their presence, for “why else would women be there i</w:t>
      </w:r>
      <w:r>
        <w:t>f they didn’t want to be picked up [or equally, grind]?” (1991, 428). The structural arrangements of these events encouraged men to seek an unoccupied woman and “hope for a receptive partner.” These diffuse expectations might contribute to men’s sense that</w:t>
      </w:r>
      <w:r>
        <w:t xml:space="preserve"> women are already giving implicit permission simply by dancing provocatively on the dance floor in plain sight.</w:t>
      </w:r>
    </w:p>
    <w:p w:rsidR="00DE2D67" w:rsidRDefault="001B5420">
      <w:pPr>
        <w:spacing w:after="273"/>
        <w:ind w:left="-15" w:right="2"/>
      </w:pPr>
      <w:r>
        <w:t>The changes from traditional, and highly gendered, requests to dance, such as those at Berk’s (1977) singles dance, are evident in the move tow</w:t>
      </w:r>
      <w:r>
        <w:t>ard nonverbal and often unannounced initiations. Yet gender stereotypes endure within these heterosexual scripts. Men make active choices and agentic initiations, and women deploy their power as responses that indirectly express choice. Exceptions to these</w:t>
      </w:r>
      <w:r>
        <w:t xml:space="preserve"> scripts reveal the implicit gendered rules that govern them. Women very rarely directly initiated dancing; for example, one woman “made her way to one man, tapped him on the shoulder, and then said something into this ear . . . the two started dancing and</w:t>
      </w:r>
      <w:r>
        <w:t xml:space="preserve"> grinding.” In another instance, a man and woman “off to the side of the dance floor [were] talking and then the girl simply started to sway and dance a little and then grabbed the guy’s hand and said ‘come dance with me.’” In both these cases, women initi</w:t>
      </w:r>
      <w:r>
        <w:t>ated once already in conversation with men. The relative traditionalism of these verbal initiations demonstrates the necessary compensation that these women must perform to outweigh a violation of the gendered script. These women’s direct initiation behavi</w:t>
      </w:r>
      <w:r>
        <w:t>ors were incongruent with their gender stereotypes. To compensate, women used relatively traditional communications. Indeed, women were more likely the initiators in rare cases of observed verbal requests.</w:t>
      </w:r>
    </w:p>
    <w:p w:rsidR="00DE2D67" w:rsidRDefault="001B5420">
      <w:pPr>
        <w:pStyle w:val="Heading1"/>
        <w:ind w:left="-5" w:right="0"/>
      </w:pPr>
      <w:r>
        <w:t>Getting</w:t>
      </w:r>
      <w:r>
        <w:t> </w:t>
      </w:r>
      <w:r>
        <w:t>It</w:t>
      </w:r>
      <w:r>
        <w:t> </w:t>
      </w:r>
      <w:r>
        <w:t>On:</w:t>
      </w:r>
      <w:r>
        <w:t> </w:t>
      </w:r>
      <w:r>
        <w:t>Acceptance</w:t>
      </w:r>
      <w:r>
        <w:t> </w:t>
      </w:r>
      <w:r>
        <w:t>as</w:t>
      </w:r>
      <w:r>
        <w:t> </w:t>
      </w:r>
      <w:r>
        <w:t>Compliance</w:t>
      </w:r>
    </w:p>
    <w:p w:rsidR="00DE2D67" w:rsidRDefault="001B5420">
      <w:pPr>
        <w:ind w:left="-15" w:right="2"/>
      </w:pPr>
      <w:r>
        <w:t>Regardless of approach, if the interaction progressed beyond initiation, then a grinding dyad formed. Acceptance was seldom verbal. Most often, it took the form of a woman allowing the initiator to continue dancing in proximity and allowing him to touch he</w:t>
      </w:r>
      <w:r>
        <w:t xml:space="preserve">r during dancing—that is, not rejecting him. One characterization described acceptance as the lack of opposition, saying “[the woman] didn’t oppose physically or verbally and began to dance.” Another observation cast the woman’s acceptance as more active: </w:t>
      </w:r>
      <w:r>
        <w:t xml:space="preserve">“If a woman accepted a man’s approach, she would shift her motions slightly so that it became clear that she was dancing </w:t>
      </w:r>
      <w:r>
        <w:rPr>
          <w:i/>
        </w:rPr>
        <w:t>with</w:t>
      </w:r>
      <w:r>
        <w:t xml:space="preserve"> the man rather than merely next to him.” Particular interest in the grinding was communicated by an attentive reaction to initiati</w:t>
      </w:r>
      <w:r>
        <w:t>on: eye contact and physical contact. Some women even turned around, smiled, and greeted the initiator. All responses to initiations by women were indirect, and most nonverbal.</w:t>
      </w:r>
    </w:p>
    <w:p w:rsidR="00DE2D67" w:rsidRDefault="001B5420">
      <w:pPr>
        <w:ind w:left="-15" w:right="2"/>
      </w:pPr>
      <w:r>
        <w:t xml:space="preserve">Women’s friends also played a part in grinding acceptance. “The girl exchanged </w:t>
      </w:r>
      <w:r>
        <w:t>a look with the friend directly in front of her, and when her friend nodded the girl moved back and began grinding with the man.” The behavior of a woman’s companions was both influential in and indicative of a woman’s likely response to an approach. Women</w:t>
      </w:r>
      <w:r>
        <w:t xml:space="preserve"> who were dancing with only one other friend were less likely to be receptive to initiations, because this would leave the friend on her own. If initiations separated pairs of friends, women were more likely to reject. Indeed, men increased their chances b</w:t>
      </w:r>
      <w:r>
        <w:t>y approaching in groups: “two or three males who were friends walked up to two or three females.” This approach ensured that groups of women all had a partner, and no one woman was left alone.</w:t>
      </w:r>
    </w:p>
    <w:p w:rsidR="00DE2D67" w:rsidRDefault="001B5420">
      <w:pPr>
        <w:ind w:left="-15" w:right="2"/>
      </w:pPr>
      <w:r>
        <w:t>Standing alone was uncommon for women, presumably because it wa</w:t>
      </w:r>
      <w:r>
        <w:t xml:space="preserve">s undesirable. “The only people standing alone were the undesirable guys hanging out along the edges of the dance floor.” At another event, “the girls at the party seemed significantly less comfortable when on their own. Boys found themselves on their own </w:t>
      </w:r>
      <w:r>
        <w:t>more often.” As Schwartz and Lever discuss, women might stand slightly apart so as to be available for approach, or stand together so as to be seen as desirable and indifferent to approach. Presumably standing alone made women uncomfortable because they se</w:t>
      </w:r>
      <w:r>
        <w:t>emed desperate, “alone and needing someone” (1976, 419). Alternatively, women might have preferred standing with friends to make use of their assistance during initiation. Women who were approached from behind by a man could not evaluate the initiator prio</w:t>
      </w:r>
      <w:r>
        <w:t>r to contact. Some women turned to look at the men’s faces as soon as they felt them. Presumably they could then decide if they wanted to dance with them. Many women did not turn around, however, but relied on their nearby friends for information. “The fem</w:t>
      </w:r>
      <w:r>
        <w:t>ale looked across to one of her girl friends for confirmation as to whether or not the guy was acceptable.” If women chose to grind with their approachers, friends moved away, allowing the grinding pair a zone of privacy. Women asked their friends—verbally</w:t>
      </w:r>
      <w:r>
        <w:t xml:space="preserve"> or otherwise—to stay if they did not want to grind with initiators, or to leave if they did want to grind.</w:t>
      </w:r>
    </w:p>
    <w:p w:rsidR="00DE2D67" w:rsidRDefault="001B5420">
      <w:pPr>
        <w:pStyle w:val="Heading1"/>
        <w:ind w:left="-5" w:right="0"/>
      </w:pPr>
      <w:r>
        <w:t>Calling</w:t>
      </w:r>
      <w:r>
        <w:t> </w:t>
      </w:r>
      <w:r>
        <w:t>It</w:t>
      </w:r>
      <w:r>
        <w:t> </w:t>
      </w:r>
      <w:r>
        <w:t>Off</w:t>
      </w:r>
      <w:r>
        <w:t> </w:t>
      </w:r>
      <w:r>
        <w:t>and</w:t>
      </w:r>
      <w:r>
        <w:t> </w:t>
      </w:r>
      <w:r>
        <w:t>Cooling</w:t>
      </w:r>
      <w:r>
        <w:t> </w:t>
      </w:r>
      <w:r>
        <w:t>Out:</w:t>
      </w:r>
      <w:r>
        <w:t> </w:t>
      </w:r>
      <w:r>
        <w:t>Rejection </w:t>
      </w:r>
      <w:r>
        <w:t> </w:t>
      </w:r>
      <w:r>
        <w:t>as</w:t>
      </w:r>
      <w:r>
        <w:t> </w:t>
      </w:r>
      <w:r>
        <w:t>Deference</w:t>
      </w:r>
      <w:r>
        <w:t> </w:t>
      </w:r>
      <w:r>
        <w:t>to</w:t>
      </w:r>
      <w:r>
        <w:t> </w:t>
      </w:r>
      <w:r>
        <w:t>Outside</w:t>
      </w:r>
      <w:r>
        <w:t> </w:t>
      </w:r>
      <w:r>
        <w:t>Forces</w:t>
      </w:r>
    </w:p>
    <w:p w:rsidR="00DE2D67" w:rsidRDefault="001B5420">
      <w:pPr>
        <w:spacing w:after="213"/>
        <w:ind w:left="-15" w:right="2"/>
      </w:pPr>
      <w:r>
        <w:t>Dancing initiations did not always lead to grinding pairs, particularly th</w:t>
      </w:r>
      <w:r>
        <w:t>ose following surprise approaches. Rejection behaviors followed consistent scripts to a greater degree than observed initiations; women used certain behaviors for rejection more consistently than men used particular behaviors for initiation. Just as the mo</w:t>
      </w:r>
      <w:r>
        <w:t xml:space="preserve">st common form of initiation was nonverbal, rejections were also mostly nonverbal. In the case of rejections too, women often relied on their friends for decision-making assistance. Dancing in a group better positioned women to cool out men when rejecting </w:t>
      </w:r>
      <w:r>
        <w:t>unwanted approaches. One woman</w:t>
      </w:r>
    </w:p>
    <w:p w:rsidR="00DE2D67" w:rsidRDefault="001B5420">
      <w:pPr>
        <w:spacing w:after="256" w:line="254" w:lineRule="auto"/>
        <w:ind w:left="240" w:right="256" w:firstLine="0"/>
      </w:pPr>
      <w:r>
        <w:rPr>
          <w:sz w:val="20"/>
        </w:rPr>
        <w:t>mouthed to her single friend dancing across from her “Is he hot?” The female friend mouthed back “No” and the woman grimaced. She then gently disentangled herself from the man’s hands around her hips and began provocatively d</w:t>
      </w:r>
      <w:r>
        <w:rPr>
          <w:sz w:val="20"/>
        </w:rPr>
        <w:t>ancing with her friend.</w:t>
      </w:r>
    </w:p>
    <w:p w:rsidR="00DE2D67" w:rsidRDefault="001B5420">
      <w:pPr>
        <w:ind w:left="-15" w:right="2" w:firstLine="0"/>
      </w:pPr>
      <w:r>
        <w:t>The presence of friends worked as a preemptive avoidance tactic.</w:t>
      </w:r>
    </w:p>
    <w:p w:rsidR="00DE2D67" w:rsidRDefault="001B5420">
      <w:pPr>
        <w:ind w:left="-15" w:right="2"/>
      </w:pPr>
      <w:r>
        <w:t>Women most often used avoidance as a cooling out strategy. Flight was the most noticeable and immediate following an approach. Women “quickly rushed into the center of</w:t>
      </w:r>
      <w:r>
        <w:t xml:space="preserve"> the circle [of friends] and away from the imposing person.” Women shifted attention away from initiators and toward their friends. Most often, a woman drew her friends nearer while still dancing; sometimes she stopped altogether and walked away with her f</w:t>
      </w:r>
      <w:r>
        <w:t>riends. In one case, as a man approached her, “a woman reached out to a female friend in front of her, and the two began to dance with each other in the center of the group.” These rejections protected the woman from culpability and the man from embarrassm</w:t>
      </w:r>
      <w:r>
        <w:t>ent by having others disrupt the privacy of the proffered dyad and giving women an excuse to move away.</w:t>
      </w:r>
    </w:p>
    <w:p w:rsidR="00DE2D67" w:rsidRDefault="001B5420">
      <w:pPr>
        <w:ind w:left="-15" w:right="2"/>
      </w:pPr>
      <w:r>
        <w:t>Women who could not preemptively avoid an approach had to respond to an initiation while already grinding. In these circumstances, women employed a numb</w:t>
      </w:r>
      <w:r>
        <w:t>er of avoidance strategies such as nonverbal cues of disinterest or excuses. Women danced disinterestedly—even limply—for some period of time with unwanted grinding partners before leaving or being left. Some women waited for the end of a song to break off</w:t>
      </w:r>
      <w:r>
        <w:t xml:space="preserve"> and excused themselves; others acted immediately and left before a natural pause.</w:t>
      </w:r>
    </w:p>
    <w:p w:rsidR="00DE2D67" w:rsidRDefault="001B5420">
      <w:pPr>
        <w:ind w:left="-15" w:right="2"/>
      </w:pPr>
      <w:r>
        <w:t>In the rare cases of verbal initiations, rejection was also verbal. This often took the form of making an excuse and often moving away. In one case, a man and a woman were i</w:t>
      </w:r>
      <w:r>
        <w:t xml:space="preserve">ntroduced and had a short conversation at the edge of the dance floor. The man presumably asked the woman to dance during the conversation, as he gestured towards the dance floor. The woman then “gave him a small smile, shook her head, and gestured to the </w:t>
      </w:r>
      <w:r>
        <w:t>outdoor area. She then gave a small wave and walked outside.” These verbal rejections were unusual and seldom followed a nonverbal approach. Excuses were not always verbal but consistently pointed to intervening reasons that prevented grinding without maki</w:t>
      </w:r>
      <w:r>
        <w:t>ng necessary any direct interaction. Two women communicated as the target woman “signaled to a friend to ‘save’ her and her friend came over and pretended they needed to talk.” In some cases, the woman being approached had friends pull her away from the ap</w:t>
      </w:r>
      <w:r>
        <w:t>proaching man, or stand in between them to prevent access to her; “one female was dancing near a friend and gestured to her that she was not enjoying herself. The friend grabbed her hand and said, ‘Come here, let’s dance.’ She pulled her friend away from t</w:t>
      </w:r>
      <w:r>
        <w:t>he male.” Women thus achieved rejection in as indirect a manner as was possible. Women used apparently coincidental events, such as intervening friends, to prevent them from grinding.</w:t>
      </w:r>
    </w:p>
    <w:p w:rsidR="00DE2D67" w:rsidRDefault="001B5420">
      <w:pPr>
        <w:ind w:left="-15" w:right="2"/>
      </w:pPr>
      <w:r>
        <w:t>Direct interventions most often involved women “saving” friends, but exc</w:t>
      </w:r>
      <w:r>
        <w:t>eptions did occur among mixed gender groups. In these cases, women employed men who were friends as stand-in tie-signs. For example, a “friend . . . forced his way between the woman and the unwanted man and started dancing with the woman himself.” This sig</w:t>
      </w:r>
      <w:r>
        <w:t>nal was more powerful than a woman performing the same spatial intervention because it suggested that the target woman was “taken.” Boyfriend-and-girlfriend couples at these parties for the most part only danced with one another. Given the sexualized natur</w:t>
      </w:r>
      <w:r>
        <w:t>e of grinding, it seemed that dancing with someone other than a partner could imply infidelity. One student expressed the loaded nature of grinding: “There’s no way I’m going on that dance floor. My girlfriend wouldn’t like it.” In one instance a man appro</w:t>
      </w:r>
      <w:r>
        <w:t>ached a woman standing with her boyfriend, and the “boyfriend responded by pulling her very close to him and dancing with her, sending the clear signal that the [other] man should back off.” In grinding initiations, as at the parties more generally, a man’</w:t>
      </w:r>
      <w:r>
        <w:t>s assistance was more effective in indicating a woman was unavailable rather than not interested, which reinforces the implicit understanding that men’s desire is consistently privileged over women’s.</w:t>
      </w:r>
    </w:p>
    <w:p w:rsidR="00DE2D67" w:rsidRDefault="001B5420">
      <w:pPr>
        <w:ind w:left="-15" w:right="2"/>
      </w:pPr>
      <w:r>
        <w:t>Regardless of specific cooling out strategy, women show</w:t>
      </w:r>
      <w:r>
        <w:t>ed consistent preference for rejections that suggested contravening excuses. Rather than polite refusals, which required conversation, women nonverbally cooled out their initiators. They avoided direct expression of their (lack of) desire. They avoided ges</w:t>
      </w:r>
      <w:r>
        <w:t xml:space="preserve">turing to any real preference to grind or not. </w:t>
      </w:r>
    </w:p>
    <w:p w:rsidR="00DE2D67" w:rsidRDefault="001B5420">
      <w:pPr>
        <w:spacing w:after="473"/>
        <w:ind w:left="-15" w:right="2" w:firstLine="0"/>
      </w:pPr>
      <w:r>
        <w:t>These women had a vested interest in preventing humiliation and conflict with their initiators. These college parties were open only to university students, meaning some chance existed that these students wou</w:t>
      </w:r>
      <w:r>
        <w:t xml:space="preserve">ld encounter one another in other contexts. While this is no doubt a strong motivation to preserve initiator’s face, the gendered nature by which face-saving is distributed reveals a systematic inequality in these cooling out strategies. Men initiated and </w:t>
      </w:r>
      <w:r>
        <w:t xml:space="preserve">women cooled out. This is the dynamic that reproduced gender inequality in this sexual script. Rather than risking commandeering the masculine role of agency and power, women sought feminine—deferent, submissive, communal—ways to express their own agency, </w:t>
      </w:r>
      <w:r>
        <w:t>and their refusal, while avoiding embarrassing men.</w:t>
      </w:r>
    </w:p>
    <w:p w:rsidR="00DE2D67" w:rsidRDefault="001B5420">
      <w:pPr>
        <w:pStyle w:val="Heading1"/>
        <w:spacing w:after="225"/>
        <w:ind w:right="16"/>
        <w:jc w:val="center"/>
      </w:pPr>
      <w:r>
        <w:t>DISCuSSION AND CONCLuSION</w:t>
      </w:r>
    </w:p>
    <w:p w:rsidR="00DE2D67" w:rsidRDefault="001B5420">
      <w:pPr>
        <w:ind w:left="-15" w:right="2"/>
      </w:pPr>
      <w:r>
        <w:t>The heterosexual grinding script at these parties reveals a gendered interactional dynamic that reproduces systematic gender inequality. The interactional dynamic is one in which men directly initiate, while women indirectly cool out unwanted approaches. I</w:t>
      </w:r>
      <w:r>
        <w:t>n exceptional gender violations—when initiations do not follow the prevailing script—participants compensate with gender congruent behaviors.</w:t>
      </w:r>
    </w:p>
    <w:p w:rsidR="00DE2D67" w:rsidRDefault="001B5420">
      <w:pPr>
        <w:ind w:left="-15" w:right="2"/>
      </w:pPr>
      <w:r>
        <w:t>Ridgeway and Correll (2004, 511) point to the significance of gendered beliefs that act as “cultural rules or inst</w:t>
      </w:r>
      <w:r>
        <w:t>ructions for enacting the social structure of difference and inequality” (see also Risman 2004). My analysis confirms the influence of gendered beliefs in grinding interaction. Hegemonic cultural beliefs about gender, primed by automatic sex categorization</w:t>
      </w:r>
      <w:r>
        <w:t xml:space="preserve"> that occurs in mixed company in a sexual setting, activate cultural beliefs. These beliefs lead to expectations that men will be agentic and competent, while women will be communal and pleasant (Conway and Vartanian 2000; Eagly 1987; Ridgeway and Correll </w:t>
      </w:r>
      <w:r>
        <w:t>2004; Rudman and Glick 2001). As a result, men initiate and women either accept or cool out as kindly and indirectly as possible. By doing this, men and women reproduce the institutional gender system that interactionally prohibits women’s access to hetero</w:t>
      </w:r>
      <w:r>
        <w:t>sexual agency and pleasure, privileging men’s pleasure and confirming their higher status.</w:t>
      </w:r>
    </w:p>
    <w:p w:rsidR="00DE2D67" w:rsidRDefault="001B5420">
      <w:pPr>
        <w:ind w:left="-15" w:right="2"/>
      </w:pPr>
      <w:r>
        <w:t>This gendered dynamic biases grinding towards male pleasure; women do not have equal access to direct agency and unpunished sexuality. Women reckon with the heterose</w:t>
      </w:r>
      <w:r>
        <w:t>xual relational imperative in which they are judged if they do not confine sexual behavior to committed relationships, but men are expected to pursue sexual behavior of all kinds (Byers 1996; Gagnon 1990; Greene and Faulkner 2005; Hamilton and Armstrong 20</w:t>
      </w:r>
      <w:r>
        <w:t>09). We can see this as interactional evidence of the relational imperative: Women on the dance floor should prefer to grind (and kiss or do anything sexual, for that matter) with a boyfriend or a man with whom a relationship is likely. Though women are os</w:t>
      </w:r>
      <w:r>
        <w:t>tensibly entitled to desire sexuality, signaling an increasingly liberalized sexual script, double standards identified in college courtship endure in this setting (Crawford and Popp 2003; Risman and Schwartz 2002). Women face the Madonna-whore dichotomy i</w:t>
      </w:r>
      <w:r>
        <w:t>n which they must present themselves as sexy and sexually competent to be desirable for grinding but, in taking part in grinding, risk being seen as immoral.</w:t>
      </w:r>
    </w:p>
    <w:p w:rsidR="00DE2D67" w:rsidRDefault="001B5420">
      <w:pPr>
        <w:spacing w:after="473"/>
        <w:ind w:left="-15" w:right="2"/>
      </w:pPr>
      <w:r>
        <w:t>What are the implications of grinding for gender inequality beyond the dance floor? While it is a question for future research, I suspect the scripts observed here have implications for gender and power that affect other interactional contexts. If women, t</w:t>
      </w:r>
      <w:r>
        <w:t>hemselves barred from direct heterosexual sexual agency, must enlist friends for assistance and engage in cooling out strategies to get men to stop thrusting, what sorts of deference behaviors are likely necessary for women interacting with men in other co</w:t>
      </w:r>
      <w:r>
        <w:t>ntexts, sexual or otherwise? Particularly in coercive situations, in which subtle cooling out strategies might not be effective, women may face greater impediments to making their disinterest understood by sexual partners who, in grinding interactions, ass</w:t>
      </w:r>
      <w:r>
        <w:t>ume receptivity merely by availability. Simon and Gagnon (1986, 106) famously noted that “private sexual cultures grow within the very heart of public sexual cultures.” Since gendered messages about sexual agency and entitlement to pleasure characterize gr</w:t>
      </w:r>
      <w:r>
        <w:t>inding, they undoubtedly also affect college sex and hookup sex that occurs in private. In these encounters, men and women, accountable to onlookers, are also “doing gender” and doing heterosexuality in ways that mirror patterns of inequality in the family</w:t>
      </w:r>
      <w:r>
        <w:t>, in the workforce, and in culture.</w:t>
      </w:r>
    </w:p>
    <w:p w:rsidR="00DE2D67" w:rsidRDefault="001B5420">
      <w:pPr>
        <w:pStyle w:val="Heading1"/>
        <w:spacing w:after="225"/>
        <w:jc w:val="center"/>
      </w:pPr>
      <w:r>
        <w:t>NOTES</w:t>
      </w:r>
    </w:p>
    <w:p w:rsidR="00DE2D67" w:rsidRDefault="001B5420">
      <w:pPr>
        <w:numPr>
          <w:ilvl w:val="0"/>
          <w:numId w:val="1"/>
        </w:numPr>
        <w:spacing w:line="254" w:lineRule="auto"/>
        <w:ind w:right="2" w:firstLine="240"/>
      </w:pPr>
      <w:r>
        <w:rPr>
          <w:sz w:val="20"/>
        </w:rPr>
        <w:t>“Hip-hop” music is by far the most prevalent kind of music to which students grind.</w:t>
      </w:r>
    </w:p>
    <w:p w:rsidR="00DE2D67" w:rsidRDefault="001B5420">
      <w:pPr>
        <w:numPr>
          <w:ilvl w:val="0"/>
          <w:numId w:val="1"/>
        </w:numPr>
        <w:spacing w:after="0" w:line="249" w:lineRule="auto"/>
        <w:ind w:right="2" w:firstLine="240"/>
      </w:pPr>
      <w:r>
        <w:rPr>
          <w:sz w:val="20"/>
        </w:rPr>
        <w:t>These included dinner parties, off-campus bar nights in which there was no guarantee that the crowd was mostly made up of universi</w:t>
      </w:r>
      <w:r>
        <w:rPr>
          <w:sz w:val="20"/>
        </w:rPr>
        <w:t>ty students, and LGBTthemed happy hours.</w:t>
      </w:r>
    </w:p>
    <w:p w:rsidR="00DE2D67" w:rsidRDefault="001B5420">
      <w:pPr>
        <w:numPr>
          <w:ilvl w:val="0"/>
          <w:numId w:val="1"/>
        </w:numPr>
        <w:spacing w:line="254" w:lineRule="auto"/>
        <w:ind w:right="2" w:firstLine="240"/>
      </w:pPr>
      <w:r>
        <w:rPr>
          <w:sz w:val="20"/>
        </w:rPr>
        <w:t>LGBT students may feel uncomfortable at these mainstream party events; these students more often attend parties at cooperative houses, residences completely run and maintained by students, or LGBT happy hours.</w:t>
      </w:r>
    </w:p>
    <w:p w:rsidR="00DE2D67" w:rsidRDefault="001B5420">
      <w:pPr>
        <w:numPr>
          <w:ilvl w:val="0"/>
          <w:numId w:val="1"/>
        </w:numPr>
        <w:spacing w:after="496" w:line="254" w:lineRule="auto"/>
        <w:ind w:right="2" w:firstLine="240"/>
      </w:pPr>
      <w:r>
        <w:rPr>
          <w:sz w:val="20"/>
        </w:rPr>
        <w:t>The p</w:t>
      </w:r>
      <w:r>
        <w:rPr>
          <w:sz w:val="20"/>
        </w:rPr>
        <w:t>recise definition of “hookup” differs between populations and even individuals in this university’s community. For further discussion, see Glenn and Marquardt (2001) and Bogle (2008).</w:t>
      </w:r>
    </w:p>
    <w:p w:rsidR="00DE2D67" w:rsidRDefault="001B5420">
      <w:pPr>
        <w:pStyle w:val="Heading1"/>
        <w:spacing w:after="225"/>
        <w:jc w:val="center"/>
      </w:pPr>
      <w:r>
        <w:t>REFERENCES</w:t>
      </w:r>
    </w:p>
    <w:p w:rsidR="00DE2D67" w:rsidRDefault="001B5420">
      <w:pPr>
        <w:spacing w:line="249" w:lineRule="auto"/>
        <w:ind w:left="235" w:right="2" w:hanging="250"/>
      </w:pPr>
      <w:r>
        <w:rPr>
          <w:sz w:val="20"/>
        </w:rPr>
        <w:t xml:space="preserve">Bailey, B. L. 1988. </w:t>
      </w:r>
      <w:r>
        <w:rPr>
          <w:i/>
          <w:sz w:val="20"/>
        </w:rPr>
        <w:t xml:space="preserve">From front porch to back seat: Courtship </w:t>
      </w:r>
      <w:r>
        <w:rPr>
          <w:i/>
          <w:sz w:val="20"/>
        </w:rPr>
        <w:t>in twentieth century America</w:t>
      </w:r>
      <w:r>
        <w:rPr>
          <w:sz w:val="20"/>
        </w:rPr>
        <w:t>. Baltimore: Johns Hopkins University Press.</w:t>
      </w:r>
    </w:p>
    <w:p w:rsidR="00DE2D67" w:rsidRDefault="001B5420">
      <w:pPr>
        <w:spacing w:line="254" w:lineRule="auto"/>
        <w:ind w:left="-15" w:right="2" w:firstLine="0"/>
      </w:pPr>
      <w:r>
        <w:rPr>
          <w:sz w:val="20"/>
        </w:rPr>
        <w:t xml:space="preserve">Berreta, </w:t>
      </w:r>
      <w:r>
        <w:rPr>
          <w:i/>
          <w:sz w:val="20"/>
        </w:rPr>
        <w:t xml:space="preserve">Grind On Me ft. Hot Dolla. </w:t>
      </w:r>
      <w:r>
        <w:rPr>
          <w:sz w:val="20"/>
        </w:rPr>
        <w:t>Lyrics. 2012. High Profile Entertainment, 2009.</w:t>
      </w:r>
    </w:p>
    <w:p w:rsidR="00DE2D67" w:rsidRDefault="001B5420">
      <w:pPr>
        <w:spacing w:line="254" w:lineRule="auto"/>
        <w:ind w:left="-15" w:right="2" w:firstLine="0"/>
      </w:pPr>
      <w:r>
        <w:rPr>
          <w:sz w:val="20"/>
        </w:rPr>
        <w:t xml:space="preserve">Berk, B. 1977. Face-saving at the singles dance. </w:t>
      </w:r>
      <w:r>
        <w:rPr>
          <w:i/>
          <w:sz w:val="20"/>
        </w:rPr>
        <w:t>Social Problems</w:t>
      </w:r>
      <w:r>
        <w:rPr>
          <w:sz w:val="20"/>
        </w:rPr>
        <w:t xml:space="preserve"> 24:530-44.</w:t>
      </w:r>
    </w:p>
    <w:p w:rsidR="00DE2D67" w:rsidRDefault="001B5420">
      <w:pPr>
        <w:spacing w:line="254" w:lineRule="auto"/>
        <w:ind w:left="235" w:right="2" w:hanging="250"/>
      </w:pPr>
      <w:r>
        <w:rPr>
          <w:sz w:val="20"/>
        </w:rPr>
        <w:t xml:space="preserve">Bogle, K. A. 2008. </w:t>
      </w:r>
      <w:r>
        <w:rPr>
          <w:i/>
          <w:sz w:val="20"/>
        </w:rPr>
        <w:t>Hook</w:t>
      </w:r>
      <w:r>
        <w:rPr>
          <w:i/>
          <w:sz w:val="20"/>
        </w:rPr>
        <w:t>ing up: Sex, dating, and relationships on campus</w:t>
      </w:r>
      <w:r>
        <w:rPr>
          <w:sz w:val="20"/>
        </w:rPr>
        <w:t>. New York: New York University Press.</w:t>
      </w:r>
    </w:p>
    <w:p w:rsidR="00DE2D67" w:rsidRDefault="001B5420">
      <w:pPr>
        <w:spacing w:line="254" w:lineRule="auto"/>
        <w:ind w:left="235" w:right="2" w:hanging="250"/>
      </w:pPr>
      <w:r>
        <w:rPr>
          <w:sz w:val="20"/>
        </w:rPr>
        <w:t xml:space="preserve">Byers, E. S. 1996. How well does the traditional sexual script explain sexual coercion. </w:t>
      </w:r>
      <w:r>
        <w:rPr>
          <w:i/>
          <w:sz w:val="20"/>
        </w:rPr>
        <w:t>Journal of Psychology and Human Sexuality</w:t>
      </w:r>
      <w:r>
        <w:rPr>
          <w:sz w:val="20"/>
        </w:rPr>
        <w:t xml:space="preserve"> 8:7-25.</w:t>
      </w:r>
    </w:p>
    <w:p w:rsidR="00DE2D67" w:rsidRDefault="001B5420">
      <w:pPr>
        <w:spacing w:line="254" w:lineRule="auto"/>
        <w:ind w:left="235" w:right="2" w:hanging="250"/>
      </w:pPr>
      <w:r>
        <w:rPr>
          <w:sz w:val="20"/>
        </w:rPr>
        <w:t>Common Data Set. 2006. Office o</w:t>
      </w:r>
      <w:r>
        <w:rPr>
          <w:sz w:val="20"/>
        </w:rPr>
        <w:t>f University Communications. http://ucomm .stanford.edu/cds/cds_2006.html.</w:t>
      </w:r>
    </w:p>
    <w:p w:rsidR="00DE2D67" w:rsidRDefault="001B5420">
      <w:pPr>
        <w:spacing w:line="254" w:lineRule="auto"/>
        <w:ind w:left="-15" w:right="2" w:firstLine="0"/>
      </w:pPr>
      <w:r>
        <w:rPr>
          <w:sz w:val="20"/>
        </w:rPr>
        <w:t xml:space="preserve">Conway, M., and L. R. Vartanian. 2000. A status account of gender stereotypes: </w:t>
      </w:r>
    </w:p>
    <w:p w:rsidR="00DE2D67" w:rsidRDefault="001B5420">
      <w:pPr>
        <w:spacing w:line="254" w:lineRule="auto"/>
        <w:ind w:left="240" w:right="2" w:firstLine="0"/>
      </w:pPr>
      <w:r>
        <w:rPr>
          <w:sz w:val="20"/>
        </w:rPr>
        <w:t xml:space="preserve">Beyond communality and agency. </w:t>
      </w:r>
      <w:r>
        <w:rPr>
          <w:i/>
          <w:sz w:val="20"/>
        </w:rPr>
        <w:t>Sex Roles</w:t>
      </w:r>
      <w:r>
        <w:rPr>
          <w:sz w:val="20"/>
        </w:rPr>
        <w:t xml:space="preserve"> 43:181-99.</w:t>
      </w:r>
    </w:p>
    <w:p w:rsidR="00DE2D67" w:rsidRDefault="001B5420">
      <w:pPr>
        <w:spacing w:line="254" w:lineRule="auto"/>
        <w:ind w:left="235" w:right="2" w:hanging="250"/>
      </w:pPr>
      <w:r>
        <w:rPr>
          <w:sz w:val="20"/>
        </w:rPr>
        <w:t xml:space="preserve">Crawford, M., and D. Popp. 2003. Sexual double standards: A review and methodological critique of two decades of research. </w:t>
      </w:r>
      <w:r>
        <w:rPr>
          <w:i/>
          <w:sz w:val="20"/>
        </w:rPr>
        <w:t>Journal of Sex Research</w:t>
      </w:r>
      <w:r>
        <w:rPr>
          <w:sz w:val="20"/>
        </w:rPr>
        <w:t xml:space="preserve"> 40:13-26.</w:t>
      </w:r>
    </w:p>
    <w:p w:rsidR="00DE2D67" w:rsidRDefault="001B5420">
      <w:pPr>
        <w:spacing w:line="254" w:lineRule="auto"/>
        <w:ind w:left="235" w:right="2" w:hanging="250"/>
      </w:pPr>
      <w:r>
        <w:rPr>
          <w:sz w:val="20"/>
        </w:rPr>
        <w:t xml:space="preserve">DiPaola, M. F. 2002. Dirty dancing. </w:t>
      </w:r>
      <w:r>
        <w:rPr>
          <w:i/>
          <w:sz w:val="20"/>
        </w:rPr>
        <w:t>Journal of Cases in Educational Leadership</w:t>
      </w:r>
      <w:r>
        <w:rPr>
          <w:sz w:val="20"/>
        </w:rPr>
        <w:t xml:space="preserve"> 5:21-27.</w:t>
      </w:r>
    </w:p>
    <w:p w:rsidR="00DE2D67" w:rsidRDefault="001B5420">
      <w:pPr>
        <w:spacing w:line="249" w:lineRule="auto"/>
        <w:ind w:left="235" w:right="2" w:hanging="250"/>
      </w:pPr>
      <w:r>
        <w:rPr>
          <w:sz w:val="20"/>
        </w:rPr>
        <w:t>Eagly, A. H</w:t>
      </w:r>
      <w:r>
        <w:rPr>
          <w:sz w:val="20"/>
        </w:rPr>
        <w:t xml:space="preserve">. 1987. </w:t>
      </w:r>
      <w:r>
        <w:rPr>
          <w:i/>
          <w:sz w:val="20"/>
        </w:rPr>
        <w:t>Sex differences in social behavior: A social role interpretation</w:t>
      </w:r>
      <w:r>
        <w:rPr>
          <w:sz w:val="20"/>
        </w:rPr>
        <w:t>. Hillsdale, NJ: Erbaum.</w:t>
      </w:r>
    </w:p>
    <w:p w:rsidR="00DE2D67" w:rsidRDefault="001B5420">
      <w:pPr>
        <w:spacing w:line="254" w:lineRule="auto"/>
        <w:ind w:left="235" w:right="2" w:hanging="250"/>
      </w:pPr>
      <w:r>
        <w:rPr>
          <w:sz w:val="20"/>
        </w:rPr>
        <w:t xml:space="preserve">Eagly, A. H., W. Wood, and A. B. Diekman. 2000. Social role theory of sex differences and similarities: A current appraisal. In </w:t>
      </w:r>
      <w:r>
        <w:rPr>
          <w:i/>
          <w:sz w:val="20"/>
        </w:rPr>
        <w:t>The development social psycholo</w:t>
      </w:r>
      <w:r>
        <w:rPr>
          <w:i/>
          <w:sz w:val="20"/>
        </w:rPr>
        <w:t>gy of gender</w:t>
      </w:r>
      <w:r>
        <w:rPr>
          <w:sz w:val="20"/>
        </w:rPr>
        <w:t>, edited by T. Eckes, 123-74. Mahwah, NJ: Lawrence Erlbaum.</w:t>
      </w:r>
    </w:p>
    <w:p w:rsidR="00DE2D67" w:rsidRDefault="001B5420">
      <w:pPr>
        <w:spacing w:line="254" w:lineRule="auto"/>
        <w:ind w:left="235" w:right="2" w:hanging="250"/>
      </w:pPr>
      <w:r>
        <w:rPr>
          <w:sz w:val="20"/>
        </w:rPr>
        <w:t xml:space="preserve">Edgar, T., and M. A. Fitzpatrick. 1993. Expectations for sexual interaction: A cognitive test of the sequencing of sexual communication behaviors. </w:t>
      </w:r>
      <w:r>
        <w:rPr>
          <w:i/>
          <w:sz w:val="20"/>
        </w:rPr>
        <w:t xml:space="preserve">Health Communication </w:t>
      </w:r>
      <w:r>
        <w:rPr>
          <w:sz w:val="20"/>
        </w:rPr>
        <w:t>5:239-61.</w:t>
      </w:r>
    </w:p>
    <w:p w:rsidR="00DE2D67" w:rsidRDefault="001B5420">
      <w:pPr>
        <w:spacing w:line="254" w:lineRule="auto"/>
        <w:ind w:left="235" w:right="2" w:hanging="250"/>
      </w:pPr>
      <w:r>
        <w:rPr>
          <w:sz w:val="20"/>
        </w:rPr>
        <w:t>Englan</w:t>
      </w:r>
      <w:r>
        <w:rPr>
          <w:sz w:val="20"/>
        </w:rPr>
        <w:t xml:space="preserve">d, P., and I. Browne. 1992. Internalization and constraint in theories of women’s subordination. </w:t>
      </w:r>
      <w:r>
        <w:rPr>
          <w:i/>
          <w:sz w:val="20"/>
        </w:rPr>
        <w:t>Current Perspectives in Social Theory</w:t>
      </w:r>
      <w:r>
        <w:rPr>
          <w:b/>
          <w:sz w:val="20"/>
        </w:rPr>
        <w:t> </w:t>
      </w:r>
      <w:r>
        <w:rPr>
          <w:sz w:val="20"/>
        </w:rPr>
        <w:t>12:97-123.</w:t>
      </w:r>
    </w:p>
    <w:p w:rsidR="00DE2D67" w:rsidRDefault="001B5420">
      <w:pPr>
        <w:spacing w:line="254" w:lineRule="auto"/>
        <w:ind w:left="235" w:right="2" w:hanging="250"/>
      </w:pPr>
      <w:r>
        <w:rPr>
          <w:sz w:val="20"/>
        </w:rPr>
        <w:t>England, P., E. F. Shafer, and A. C. K. Fogarty. 2008. Hooking up and forming romantic relationships on today’</w:t>
      </w:r>
      <w:r>
        <w:rPr>
          <w:sz w:val="20"/>
        </w:rPr>
        <w:t xml:space="preserve">s college campuses. In </w:t>
      </w:r>
      <w:r>
        <w:rPr>
          <w:i/>
          <w:sz w:val="20"/>
        </w:rPr>
        <w:t>The gendered society reader</w:t>
      </w:r>
      <w:r>
        <w:rPr>
          <w:sz w:val="20"/>
        </w:rPr>
        <w:t>, 3rd ed., edited by M. Kimmel and A. Aronson, 531-47. New York: Oxford University Press.</w:t>
      </w:r>
    </w:p>
    <w:p w:rsidR="00DE2D67" w:rsidRDefault="001B5420">
      <w:pPr>
        <w:spacing w:line="254" w:lineRule="auto"/>
        <w:ind w:left="235" w:right="2" w:hanging="250"/>
      </w:pPr>
      <w:r>
        <w:rPr>
          <w:sz w:val="20"/>
        </w:rPr>
        <w:t xml:space="preserve">England, P., and T. R. J. Thomas. 2006. The decline of the date and the rise of the college hook up. In </w:t>
      </w:r>
      <w:r>
        <w:rPr>
          <w:i/>
          <w:sz w:val="20"/>
        </w:rPr>
        <w:t xml:space="preserve">Families in </w:t>
      </w:r>
      <w:r>
        <w:rPr>
          <w:i/>
          <w:sz w:val="20"/>
        </w:rPr>
        <w:t>transition</w:t>
      </w:r>
      <w:r>
        <w:rPr>
          <w:sz w:val="20"/>
        </w:rPr>
        <w:t>, 14th ed., edited by Arlene S. Skolnick and Jerome H. Skolnick, 151-62. Boston: Allyn &amp; Bacon.</w:t>
      </w:r>
    </w:p>
    <w:p w:rsidR="00DE2D67" w:rsidRDefault="001B5420">
      <w:pPr>
        <w:spacing w:line="254" w:lineRule="auto"/>
        <w:ind w:left="235" w:right="2" w:hanging="250"/>
      </w:pPr>
      <w:r>
        <w:rPr>
          <w:sz w:val="20"/>
        </w:rPr>
        <w:t xml:space="preserve">Gagnon, J. H. 1990. The explicit and implicit use of the scripting perspective in sex research. </w:t>
      </w:r>
      <w:r>
        <w:rPr>
          <w:i/>
          <w:sz w:val="20"/>
        </w:rPr>
        <w:t>Annual Review of Sex Research</w:t>
      </w:r>
      <w:r>
        <w:rPr>
          <w:sz w:val="20"/>
        </w:rPr>
        <w:t xml:space="preserve"> 1:1-43.</w:t>
      </w:r>
    </w:p>
    <w:p w:rsidR="00DE2D67" w:rsidRDefault="001B5420">
      <w:pPr>
        <w:spacing w:line="254" w:lineRule="auto"/>
        <w:ind w:left="235" w:right="2" w:hanging="250"/>
      </w:pPr>
      <w:r>
        <w:rPr>
          <w:sz w:val="20"/>
        </w:rPr>
        <w:t>Geer, J. H., and</w:t>
      </w:r>
      <w:r>
        <w:rPr>
          <w:sz w:val="20"/>
        </w:rPr>
        <w:t xml:space="preserve"> D. B. Broussard. 1990. Scaling heterosexual behavior and arousal: Consistency and sex differences. </w:t>
      </w:r>
      <w:r>
        <w:rPr>
          <w:i/>
          <w:sz w:val="20"/>
        </w:rPr>
        <w:t xml:space="preserve">Journal of Personality and Social Psychology </w:t>
      </w:r>
      <w:r>
        <w:rPr>
          <w:sz w:val="20"/>
        </w:rPr>
        <w:t>58:664-71.</w:t>
      </w:r>
    </w:p>
    <w:p w:rsidR="00DE2D67" w:rsidRDefault="001B5420">
      <w:pPr>
        <w:spacing w:line="249" w:lineRule="auto"/>
        <w:ind w:left="235" w:right="2" w:hanging="250"/>
      </w:pPr>
      <w:r>
        <w:rPr>
          <w:sz w:val="20"/>
        </w:rPr>
        <w:t xml:space="preserve">Glenn, M., and E. Marquardt. 2001. </w:t>
      </w:r>
      <w:r>
        <w:rPr>
          <w:i/>
          <w:sz w:val="20"/>
        </w:rPr>
        <w:t>Hooking up, hanging out and hoping for Mr. right: College women on mating and dating today</w:t>
      </w:r>
      <w:r>
        <w:rPr>
          <w:sz w:val="20"/>
        </w:rPr>
        <w:t>. New York: Institute for American Values.</w:t>
      </w:r>
    </w:p>
    <w:p w:rsidR="00DE2D67" w:rsidRDefault="001B5420">
      <w:pPr>
        <w:spacing w:line="254" w:lineRule="auto"/>
        <w:ind w:left="235" w:right="2" w:hanging="250"/>
      </w:pPr>
      <w:r>
        <w:rPr>
          <w:sz w:val="20"/>
        </w:rPr>
        <w:t>Greene, K., and S. L. Faulkner. 2005. Gender belief in sexual double standard and sexual talk in heterosexual dating relati</w:t>
      </w:r>
      <w:r>
        <w:rPr>
          <w:sz w:val="20"/>
        </w:rPr>
        <w:t xml:space="preserve">onships. </w:t>
      </w:r>
      <w:r>
        <w:rPr>
          <w:i/>
          <w:sz w:val="20"/>
        </w:rPr>
        <w:t xml:space="preserve">Sex Roles </w:t>
      </w:r>
      <w:r>
        <w:rPr>
          <w:sz w:val="20"/>
        </w:rPr>
        <w:t>53:239-51.</w:t>
      </w:r>
    </w:p>
    <w:p w:rsidR="00DE2D67" w:rsidRDefault="001B5420">
      <w:pPr>
        <w:spacing w:line="254" w:lineRule="auto"/>
        <w:ind w:left="-15" w:right="2" w:firstLine="0"/>
      </w:pPr>
      <w:r>
        <w:rPr>
          <w:sz w:val="20"/>
        </w:rPr>
        <w:t xml:space="preserve">Goffman, E. 1983. The interaction order. </w:t>
      </w:r>
      <w:r>
        <w:rPr>
          <w:i/>
          <w:sz w:val="20"/>
        </w:rPr>
        <w:t>American Sociological Review</w:t>
      </w:r>
      <w:r>
        <w:rPr>
          <w:sz w:val="20"/>
        </w:rPr>
        <w:t xml:space="preserve"> 48:1-16.</w:t>
      </w:r>
    </w:p>
    <w:p w:rsidR="00DE2D67" w:rsidRDefault="001B5420">
      <w:pPr>
        <w:spacing w:line="254" w:lineRule="auto"/>
        <w:ind w:left="235" w:right="2" w:hanging="250"/>
      </w:pPr>
      <w:r>
        <w:rPr>
          <w:sz w:val="20"/>
        </w:rPr>
        <w:t xml:space="preserve">Grazian, D. 2007. The girl hunt: Urban nightlife and the performance of hegemonic masculinity as collective activity. </w:t>
      </w:r>
      <w:r>
        <w:rPr>
          <w:i/>
          <w:sz w:val="20"/>
        </w:rPr>
        <w:t>Symbolic Interaction</w:t>
      </w:r>
      <w:r>
        <w:rPr>
          <w:sz w:val="20"/>
        </w:rPr>
        <w:t xml:space="preserve"> 30:221-4</w:t>
      </w:r>
      <w:r>
        <w:rPr>
          <w:sz w:val="20"/>
        </w:rPr>
        <w:t>3.</w:t>
      </w:r>
    </w:p>
    <w:p w:rsidR="00DE2D67" w:rsidRDefault="001B5420">
      <w:pPr>
        <w:spacing w:line="254" w:lineRule="auto"/>
        <w:ind w:left="235" w:right="2" w:hanging="250"/>
      </w:pPr>
      <w:r>
        <w:rPr>
          <w:sz w:val="20"/>
        </w:rPr>
        <w:t xml:space="preserve">Grazian, D. 2008. </w:t>
      </w:r>
      <w:r>
        <w:rPr>
          <w:i/>
          <w:sz w:val="20"/>
        </w:rPr>
        <w:t>On the make: The hustle of urban nightlife</w:t>
      </w:r>
      <w:r>
        <w:rPr>
          <w:sz w:val="20"/>
        </w:rPr>
        <w:t>. Chicago: University of Chicago Press.</w:t>
      </w:r>
    </w:p>
    <w:p w:rsidR="00DE2D67" w:rsidRDefault="001B5420">
      <w:pPr>
        <w:spacing w:line="254" w:lineRule="auto"/>
        <w:ind w:left="235" w:right="2" w:hanging="250"/>
      </w:pPr>
      <w:r>
        <w:rPr>
          <w:sz w:val="20"/>
        </w:rPr>
        <w:t xml:space="preserve">Hamilton, L. 2007. Trading on heterosexuality: College women’s gender strategies and homophobia. </w:t>
      </w:r>
      <w:r>
        <w:rPr>
          <w:i/>
          <w:sz w:val="20"/>
        </w:rPr>
        <w:t>Gender &amp; Society</w:t>
      </w:r>
      <w:r>
        <w:rPr>
          <w:sz w:val="20"/>
        </w:rPr>
        <w:t xml:space="preserve"> 21:145-72.</w:t>
      </w:r>
    </w:p>
    <w:p w:rsidR="00DE2D67" w:rsidRDefault="001B5420">
      <w:pPr>
        <w:spacing w:line="254" w:lineRule="auto"/>
        <w:ind w:left="235" w:right="2" w:hanging="250"/>
      </w:pPr>
      <w:r>
        <w:rPr>
          <w:sz w:val="20"/>
        </w:rPr>
        <w:t>Hamilton, L., and E. Armstro</w:t>
      </w:r>
      <w:r>
        <w:rPr>
          <w:sz w:val="20"/>
        </w:rPr>
        <w:t xml:space="preserve">ng. 2009. Gendered sexuality in young adulthood: Double binds and flawed options. </w:t>
      </w:r>
      <w:r>
        <w:rPr>
          <w:i/>
          <w:sz w:val="20"/>
        </w:rPr>
        <w:t xml:space="preserve">Gender &amp; Society </w:t>
      </w:r>
      <w:r>
        <w:rPr>
          <w:sz w:val="20"/>
        </w:rPr>
        <w:t>23:589.</w:t>
      </w:r>
    </w:p>
    <w:p w:rsidR="00DE2D67" w:rsidRDefault="001B5420">
      <w:pPr>
        <w:spacing w:line="254" w:lineRule="auto"/>
        <w:ind w:left="235" w:right="2" w:hanging="250"/>
      </w:pPr>
      <w:r>
        <w:rPr>
          <w:sz w:val="20"/>
        </w:rPr>
        <w:t>Kleder, M. 2002. Thongs and freak dancing equal trouble. May 22. Concerned Women for America. http://www.cwfa.org/articles/611/CFI/cfreport/index. ht</w:t>
      </w:r>
      <w:r>
        <w:rPr>
          <w:sz w:val="20"/>
        </w:rPr>
        <w:t>m. (accessed July 2, 2009).</w:t>
      </w:r>
    </w:p>
    <w:p w:rsidR="00DE2D67" w:rsidRDefault="001B5420">
      <w:pPr>
        <w:spacing w:line="254" w:lineRule="auto"/>
        <w:ind w:left="235" w:right="2" w:hanging="250"/>
      </w:pPr>
      <w:r>
        <w:rPr>
          <w:sz w:val="20"/>
        </w:rPr>
        <w:t xml:space="preserve">Kurth, S. B., B. B. Spiller, and C. B. Travis. 2000. Consent, power and sexual scripts: Deconstructing sexual harassment. In </w:t>
      </w:r>
      <w:r>
        <w:rPr>
          <w:i/>
          <w:sz w:val="20"/>
        </w:rPr>
        <w:t>Sexuality, society, and feminism</w:t>
      </w:r>
      <w:r>
        <w:rPr>
          <w:sz w:val="20"/>
        </w:rPr>
        <w:t>, ed. C. B. Travis and J. W. White, 323-54. Washington, DC: American Ps</w:t>
      </w:r>
      <w:r>
        <w:rPr>
          <w:sz w:val="20"/>
        </w:rPr>
        <w:t>ychological Association.</w:t>
      </w:r>
    </w:p>
    <w:p w:rsidR="00DE2D67" w:rsidRDefault="001B5420">
      <w:pPr>
        <w:spacing w:line="254" w:lineRule="auto"/>
        <w:ind w:left="-15" w:right="2" w:firstLine="0"/>
      </w:pPr>
      <w:r>
        <w:rPr>
          <w:sz w:val="20"/>
        </w:rPr>
        <w:t xml:space="preserve">Martin, P. Y. 2004. Gender as a social institution. </w:t>
      </w:r>
      <w:r>
        <w:rPr>
          <w:i/>
          <w:sz w:val="20"/>
        </w:rPr>
        <w:t>Social Forces</w:t>
      </w:r>
      <w:r>
        <w:rPr>
          <w:sz w:val="20"/>
        </w:rPr>
        <w:t xml:space="preserve"> 82:1249-73.</w:t>
      </w:r>
    </w:p>
    <w:p w:rsidR="00DE2D67" w:rsidRDefault="001B5420">
      <w:pPr>
        <w:spacing w:line="254" w:lineRule="auto"/>
        <w:ind w:left="235" w:right="2" w:hanging="250"/>
      </w:pPr>
      <w:r>
        <w:rPr>
          <w:sz w:val="20"/>
        </w:rPr>
        <w:t xml:space="preserve">Paul, E. L., and Kristen A. Hayes. 2002. The casualties of casual sex: A qualitative exploration of the phenomenology of college students’ hookups. </w:t>
      </w:r>
      <w:r>
        <w:rPr>
          <w:i/>
          <w:sz w:val="20"/>
        </w:rPr>
        <w:t>Journal of Social and Personal Relationships</w:t>
      </w:r>
      <w:r>
        <w:rPr>
          <w:sz w:val="20"/>
        </w:rPr>
        <w:t xml:space="preserve"> 19:639-61.</w:t>
      </w:r>
    </w:p>
    <w:p w:rsidR="00DE2D67" w:rsidRDefault="001B5420">
      <w:pPr>
        <w:spacing w:line="254" w:lineRule="auto"/>
        <w:ind w:left="235" w:right="2" w:hanging="250"/>
      </w:pPr>
      <w:r>
        <w:rPr>
          <w:sz w:val="20"/>
        </w:rPr>
        <w:t>Paul, E. L., B. McManus, and A. Hayes. 2000. Hookups</w:t>
      </w:r>
      <w:r>
        <w:rPr>
          <w:sz w:val="20"/>
        </w:rPr>
        <w:t xml:space="preserve">: Characteristics and correlates of college students’ spontaneous and anonymous sexual experiences. </w:t>
      </w:r>
      <w:r>
        <w:rPr>
          <w:i/>
          <w:sz w:val="20"/>
        </w:rPr>
        <w:t>Journal of Sex Research</w:t>
      </w:r>
      <w:r>
        <w:rPr>
          <w:sz w:val="20"/>
        </w:rPr>
        <w:t xml:space="preserve"> 37:76-88.</w:t>
      </w:r>
    </w:p>
    <w:p w:rsidR="00DE2D67" w:rsidRDefault="001B5420">
      <w:pPr>
        <w:spacing w:line="254" w:lineRule="auto"/>
        <w:ind w:left="235" w:right="2" w:hanging="250"/>
      </w:pPr>
      <w:r>
        <w:rPr>
          <w:sz w:val="20"/>
        </w:rPr>
        <w:t xml:space="preserve">Popovich, P. M., J. A. Jolton, P. M. Mastrangelo, W. J. Everton, J. M. Somers, and D. N. Gehlaug. 1995. Sexual harassment </w:t>
      </w:r>
      <w:r>
        <w:rPr>
          <w:sz w:val="20"/>
        </w:rPr>
        <w:t xml:space="preserve">scripts: A means to understanding a phenomenon. </w:t>
      </w:r>
      <w:r>
        <w:rPr>
          <w:i/>
          <w:sz w:val="20"/>
        </w:rPr>
        <w:t>Sex Roles</w:t>
      </w:r>
      <w:r>
        <w:rPr>
          <w:sz w:val="20"/>
        </w:rPr>
        <w:t xml:space="preserve"> 32:315-25.</w:t>
      </w:r>
    </w:p>
    <w:p w:rsidR="00DE2D67" w:rsidRDefault="001B5420">
      <w:pPr>
        <w:spacing w:line="254" w:lineRule="auto"/>
        <w:ind w:left="235" w:right="2" w:hanging="250"/>
      </w:pPr>
      <w:r>
        <w:rPr>
          <w:sz w:val="20"/>
        </w:rPr>
        <w:t xml:space="preserve">Pryor, J. B., and T. V. Merluzzi. 1985. The role of expertise in processing social interaction scripts. </w:t>
      </w:r>
      <w:r>
        <w:rPr>
          <w:i/>
          <w:sz w:val="20"/>
        </w:rPr>
        <w:t>Journal of Experimental Social Psychology</w:t>
      </w:r>
      <w:r>
        <w:rPr>
          <w:sz w:val="20"/>
        </w:rPr>
        <w:t xml:space="preserve"> 21:362-79.</w:t>
      </w:r>
    </w:p>
    <w:p w:rsidR="00DE2D67" w:rsidRDefault="001B5420">
      <w:pPr>
        <w:spacing w:line="254" w:lineRule="auto"/>
        <w:ind w:left="235" w:right="2" w:hanging="250"/>
      </w:pPr>
      <w:r>
        <w:rPr>
          <w:sz w:val="20"/>
        </w:rPr>
        <w:t>Reid, P. T., and V. M. Bing. 2</w:t>
      </w:r>
      <w:r>
        <w:rPr>
          <w:sz w:val="20"/>
        </w:rPr>
        <w:t xml:space="preserve">000. Sexual roles of girls and women: An ethnocultural lifespan perspective. In </w:t>
      </w:r>
      <w:r>
        <w:rPr>
          <w:i/>
          <w:sz w:val="20"/>
        </w:rPr>
        <w:t>Sexuality, society, and feminism</w:t>
      </w:r>
      <w:r>
        <w:rPr>
          <w:sz w:val="20"/>
        </w:rPr>
        <w:t>, ed. C. B. Travis and J. W. White, 141-66. Washington, DC: American Psychological Association.</w:t>
      </w:r>
    </w:p>
    <w:p w:rsidR="00DE2D67" w:rsidRDefault="001B5420">
      <w:pPr>
        <w:spacing w:line="254" w:lineRule="auto"/>
        <w:ind w:left="235" w:right="2" w:hanging="250"/>
      </w:pPr>
      <w:r>
        <w:rPr>
          <w:sz w:val="20"/>
        </w:rPr>
        <w:t>Ridgeway, C. L. 1997. Interaction and the conser</w:t>
      </w:r>
      <w:r>
        <w:rPr>
          <w:sz w:val="20"/>
        </w:rPr>
        <w:t xml:space="preserve">vation of gender inequality: Considering employment. </w:t>
      </w:r>
      <w:r>
        <w:rPr>
          <w:i/>
          <w:sz w:val="20"/>
        </w:rPr>
        <w:t>American Sociological Review</w:t>
      </w:r>
      <w:r>
        <w:rPr>
          <w:sz w:val="20"/>
        </w:rPr>
        <w:t xml:space="preserve"> 62:218-35.</w:t>
      </w:r>
    </w:p>
    <w:p w:rsidR="00DE2D67" w:rsidRDefault="001B5420">
      <w:pPr>
        <w:spacing w:line="254" w:lineRule="auto"/>
        <w:ind w:left="235" w:right="2" w:hanging="250"/>
      </w:pPr>
      <w:r>
        <w:rPr>
          <w:sz w:val="20"/>
        </w:rPr>
        <w:t xml:space="preserve">Ridgeway, C. L. 2009. Framed before we know it: How gender shapes social relations. </w:t>
      </w:r>
      <w:r>
        <w:rPr>
          <w:i/>
          <w:sz w:val="20"/>
        </w:rPr>
        <w:t>Gender &amp; Society</w:t>
      </w:r>
      <w:r>
        <w:rPr>
          <w:sz w:val="20"/>
        </w:rPr>
        <w:t xml:space="preserve"> 23 (2): 145-60.</w:t>
      </w:r>
    </w:p>
    <w:p w:rsidR="00DE2D67" w:rsidRDefault="001B5420">
      <w:pPr>
        <w:spacing w:line="254" w:lineRule="auto"/>
        <w:ind w:left="235" w:right="2" w:hanging="250"/>
      </w:pPr>
      <w:r>
        <w:rPr>
          <w:sz w:val="20"/>
        </w:rPr>
        <w:t>Ridgeway, C. L., and S. J. Correll. 2004. Unpa</w:t>
      </w:r>
      <w:r>
        <w:rPr>
          <w:sz w:val="20"/>
        </w:rPr>
        <w:t xml:space="preserve">cking the gender system: A theoretical perspective on gender beliefs and social relations. </w:t>
      </w:r>
      <w:r>
        <w:rPr>
          <w:i/>
          <w:sz w:val="20"/>
        </w:rPr>
        <w:t>Gender &amp; Society</w:t>
      </w:r>
      <w:r>
        <w:rPr>
          <w:sz w:val="20"/>
        </w:rPr>
        <w:t xml:space="preserve"> 18:510-31.</w:t>
      </w:r>
    </w:p>
    <w:p w:rsidR="00DE2D67" w:rsidRDefault="001B5420">
      <w:pPr>
        <w:spacing w:line="254" w:lineRule="auto"/>
        <w:ind w:left="235" w:right="2" w:hanging="250"/>
      </w:pPr>
      <w:r>
        <w:rPr>
          <w:sz w:val="20"/>
        </w:rPr>
        <w:t xml:space="preserve">Ridgeway, C. L., C. Johnson, and D. Diekama. 1993. External status, legitimacy, and compliance in male and female groups. </w:t>
      </w:r>
      <w:r>
        <w:rPr>
          <w:i/>
          <w:sz w:val="20"/>
        </w:rPr>
        <w:t>Social Forces</w:t>
      </w:r>
      <w:r>
        <w:rPr>
          <w:sz w:val="20"/>
        </w:rPr>
        <w:t xml:space="preserve"> 7</w:t>
      </w:r>
      <w:r>
        <w:rPr>
          <w:sz w:val="20"/>
        </w:rPr>
        <w:t>2:1051-77.</w:t>
      </w:r>
    </w:p>
    <w:p w:rsidR="00DE2D67" w:rsidRDefault="001B5420">
      <w:pPr>
        <w:spacing w:line="254" w:lineRule="auto"/>
        <w:ind w:left="235" w:right="2" w:hanging="250"/>
      </w:pPr>
      <w:r>
        <w:rPr>
          <w:sz w:val="20"/>
        </w:rPr>
        <w:t xml:space="preserve">Ridgeway, C. L., and L. Smith-Lovin. 1999. The gender system and interaction. </w:t>
      </w:r>
      <w:r>
        <w:rPr>
          <w:i/>
          <w:sz w:val="20"/>
        </w:rPr>
        <w:t>Annual Review of Sociology</w:t>
      </w:r>
      <w:r>
        <w:rPr>
          <w:sz w:val="20"/>
        </w:rPr>
        <w:t xml:space="preserve"> 25:191-216.</w:t>
      </w:r>
    </w:p>
    <w:p w:rsidR="00DE2D67" w:rsidRDefault="001B5420">
      <w:pPr>
        <w:spacing w:line="254" w:lineRule="auto"/>
        <w:ind w:left="235" w:right="2" w:hanging="250"/>
      </w:pPr>
      <w:r>
        <w:rPr>
          <w:sz w:val="20"/>
        </w:rPr>
        <w:t xml:space="preserve">Risman, B. J. 2004. Gender as a social structure: Theory wrestling with activism. </w:t>
      </w:r>
      <w:r>
        <w:rPr>
          <w:i/>
          <w:sz w:val="20"/>
        </w:rPr>
        <w:t>Gender &amp; Society</w:t>
      </w:r>
      <w:r>
        <w:rPr>
          <w:sz w:val="20"/>
        </w:rPr>
        <w:t xml:space="preserve"> 18:429-50.</w:t>
      </w:r>
    </w:p>
    <w:p w:rsidR="00DE2D67" w:rsidRDefault="001B5420">
      <w:pPr>
        <w:spacing w:line="254" w:lineRule="auto"/>
        <w:ind w:left="235" w:right="2" w:hanging="250"/>
      </w:pPr>
      <w:r>
        <w:rPr>
          <w:sz w:val="20"/>
        </w:rPr>
        <w:t>Risman, B. J., and</w:t>
      </w:r>
      <w:r>
        <w:rPr>
          <w:sz w:val="20"/>
        </w:rPr>
        <w:t xml:space="preserve"> P. Schwartz. 2002. After the sexual revolution: Gender politics in teen dating. </w:t>
      </w:r>
      <w:r>
        <w:rPr>
          <w:i/>
          <w:sz w:val="20"/>
        </w:rPr>
        <w:t>Contexts</w:t>
      </w:r>
      <w:r>
        <w:rPr>
          <w:sz w:val="20"/>
        </w:rPr>
        <w:t xml:space="preserve"> 1:16-24.</w:t>
      </w:r>
    </w:p>
    <w:p w:rsidR="00DE2D67" w:rsidRDefault="001B5420">
      <w:pPr>
        <w:spacing w:line="254" w:lineRule="auto"/>
        <w:ind w:left="235" w:right="2" w:hanging="250"/>
      </w:pPr>
      <w:r>
        <w:rPr>
          <w:sz w:val="20"/>
        </w:rPr>
        <w:t xml:space="preserve">Rostosky, S. S., and C. B. Travis. 2000. Menopause and sexuality: Ageism and sexism unite. In </w:t>
      </w:r>
      <w:r>
        <w:rPr>
          <w:i/>
          <w:sz w:val="20"/>
        </w:rPr>
        <w:t>Sexuality, society, and feminism</w:t>
      </w:r>
      <w:r>
        <w:rPr>
          <w:sz w:val="20"/>
        </w:rPr>
        <w:t>, ed. C. B. Travis and J. W. Wh</w:t>
      </w:r>
      <w:r>
        <w:rPr>
          <w:sz w:val="20"/>
        </w:rPr>
        <w:t>ite, 181-209. Washington, DC: American Psychological Association.</w:t>
      </w:r>
    </w:p>
    <w:p w:rsidR="00DE2D67" w:rsidRDefault="001B5420">
      <w:pPr>
        <w:spacing w:line="254" w:lineRule="auto"/>
        <w:ind w:left="235" w:right="2" w:hanging="250"/>
      </w:pPr>
      <w:r>
        <w:rPr>
          <w:sz w:val="20"/>
        </w:rPr>
        <w:t xml:space="preserve">Rudman, L. A., and P. Glick. 2001. Prescriptive gender stereotypes and backlash toward agentic women. </w:t>
      </w:r>
      <w:r>
        <w:rPr>
          <w:i/>
          <w:sz w:val="20"/>
        </w:rPr>
        <w:t>Journal of Social Sciences</w:t>
      </w:r>
      <w:r>
        <w:rPr>
          <w:sz w:val="20"/>
        </w:rPr>
        <w:t xml:space="preserve"> 57:743-62.</w:t>
      </w:r>
    </w:p>
    <w:p w:rsidR="00DE2D67" w:rsidRDefault="001B5420">
      <w:pPr>
        <w:spacing w:line="254" w:lineRule="auto"/>
        <w:ind w:left="235" w:right="2" w:hanging="250"/>
      </w:pPr>
      <w:r>
        <w:rPr>
          <w:sz w:val="20"/>
        </w:rPr>
        <w:t xml:space="preserve">Schwartz, P., and J. Lever. 1976. Fear and loathing at a college mixer. </w:t>
      </w:r>
      <w:r>
        <w:rPr>
          <w:i/>
          <w:sz w:val="20"/>
        </w:rPr>
        <w:t>Journal of Contemporary Ethnography</w:t>
      </w:r>
      <w:r>
        <w:rPr>
          <w:sz w:val="20"/>
        </w:rPr>
        <w:t xml:space="preserve"> 4:413.</w:t>
      </w:r>
    </w:p>
    <w:p w:rsidR="00DE2D67" w:rsidRDefault="001B5420">
      <w:pPr>
        <w:spacing w:line="254" w:lineRule="auto"/>
        <w:ind w:left="235" w:right="2" w:hanging="250"/>
      </w:pPr>
      <w:r>
        <w:rPr>
          <w:sz w:val="20"/>
        </w:rPr>
        <w:t xml:space="preserve">Sewell, W. H. 1992. The theory of structure: Duality, agency and transformation. </w:t>
      </w:r>
      <w:r>
        <w:rPr>
          <w:i/>
          <w:sz w:val="20"/>
        </w:rPr>
        <w:t>American Journal of Sociology</w:t>
      </w:r>
      <w:r>
        <w:rPr>
          <w:sz w:val="20"/>
        </w:rPr>
        <w:t xml:space="preserve"> 98:1-29.</w:t>
      </w:r>
    </w:p>
    <w:p w:rsidR="00DE2D67" w:rsidRDefault="001B5420">
      <w:pPr>
        <w:spacing w:line="254" w:lineRule="auto"/>
        <w:ind w:left="235" w:right="2" w:hanging="250"/>
      </w:pPr>
      <w:r>
        <w:rPr>
          <w:sz w:val="20"/>
        </w:rPr>
        <w:t xml:space="preserve">Simon, W., and J. H. </w:t>
      </w:r>
      <w:r>
        <w:rPr>
          <w:sz w:val="20"/>
        </w:rPr>
        <w:t xml:space="preserve">Gagnon. 1973. </w:t>
      </w:r>
      <w:r>
        <w:rPr>
          <w:i/>
          <w:sz w:val="20"/>
        </w:rPr>
        <w:t>Sexual conduct: The social sources of human sexuality</w:t>
      </w:r>
      <w:r>
        <w:rPr>
          <w:sz w:val="20"/>
        </w:rPr>
        <w:t>. Rutgers, NJ: Transaction Publishers.</w:t>
      </w:r>
    </w:p>
    <w:p w:rsidR="00DE2D67" w:rsidRDefault="001B5420">
      <w:pPr>
        <w:spacing w:line="254" w:lineRule="auto"/>
        <w:ind w:left="235" w:right="2" w:hanging="250"/>
      </w:pPr>
      <w:r>
        <w:rPr>
          <w:sz w:val="20"/>
        </w:rPr>
        <w:t xml:space="preserve">Simon, W., and J. H. Gagnon. 1986. Sexual scripts: Permanence and change. </w:t>
      </w:r>
      <w:r>
        <w:rPr>
          <w:i/>
          <w:sz w:val="20"/>
        </w:rPr>
        <w:t>Archives of Sexual Behavior</w:t>
      </w:r>
      <w:r>
        <w:rPr>
          <w:sz w:val="20"/>
        </w:rPr>
        <w:t xml:space="preserve"> 15:97-120.</w:t>
      </w:r>
    </w:p>
    <w:p w:rsidR="00DE2D67" w:rsidRDefault="001B5420">
      <w:pPr>
        <w:spacing w:line="254" w:lineRule="auto"/>
        <w:ind w:left="235" w:right="2" w:hanging="250"/>
      </w:pPr>
      <w:r>
        <w:rPr>
          <w:sz w:val="20"/>
        </w:rPr>
        <w:t>Snow, D. A., C. B. Robinson, and P. L</w:t>
      </w:r>
      <w:r>
        <w:rPr>
          <w:sz w:val="20"/>
        </w:rPr>
        <w:t xml:space="preserve">. McCall. 1991. “Cooling out” men in singles bars and nightclubs: Observations on the interpersonal survival strategies of women in public spaces. </w:t>
      </w:r>
      <w:r>
        <w:rPr>
          <w:i/>
          <w:sz w:val="20"/>
        </w:rPr>
        <w:t>Journal of Contemporary Ethnography</w:t>
      </w:r>
      <w:r>
        <w:rPr>
          <w:sz w:val="20"/>
        </w:rPr>
        <w:t xml:space="preserve"> 19:423.</w:t>
      </w:r>
    </w:p>
    <w:p w:rsidR="00DE2D67" w:rsidRDefault="001B5420">
      <w:pPr>
        <w:spacing w:line="249" w:lineRule="auto"/>
        <w:ind w:left="235" w:right="2" w:hanging="250"/>
      </w:pPr>
      <w:r>
        <w:rPr>
          <w:sz w:val="20"/>
        </w:rPr>
        <w:t xml:space="preserve">Stepp, L. S. 2007. </w:t>
      </w:r>
      <w:r>
        <w:rPr>
          <w:i/>
          <w:sz w:val="20"/>
        </w:rPr>
        <w:t>Unhooked: How young women pursue sex, delay lo</w:t>
      </w:r>
      <w:r>
        <w:rPr>
          <w:i/>
          <w:sz w:val="20"/>
        </w:rPr>
        <w:t>ve and lose at both</w:t>
      </w:r>
      <w:r>
        <w:rPr>
          <w:sz w:val="20"/>
        </w:rPr>
        <w:t>. New York: Riverhead Books.</w:t>
      </w:r>
    </w:p>
    <w:p w:rsidR="00DE2D67" w:rsidRDefault="001B5420">
      <w:pPr>
        <w:spacing w:after="476" w:line="254" w:lineRule="auto"/>
        <w:ind w:left="235" w:right="2" w:hanging="250"/>
      </w:pPr>
      <w:r>
        <w:rPr>
          <w:sz w:val="20"/>
        </w:rPr>
        <w:t xml:space="preserve">Stern, L. A., M. Callister, and L. Jones. 2005. Face time: Public sociality, social encounters and gender at a university recreation center. In </w:t>
      </w:r>
      <w:r>
        <w:rPr>
          <w:i/>
          <w:sz w:val="20"/>
        </w:rPr>
        <w:t>Together alone: Personal relationships in public places</w:t>
      </w:r>
      <w:r>
        <w:rPr>
          <w:sz w:val="20"/>
        </w:rPr>
        <w:t xml:space="preserve">, ed. C. </w:t>
      </w:r>
      <w:r>
        <w:rPr>
          <w:sz w:val="20"/>
        </w:rPr>
        <w:t>Morrill, D. A. Snow, and C. H. White, 25-45. Berkeley: University of California Press.</w:t>
      </w:r>
    </w:p>
    <w:p w:rsidR="00DE2D67" w:rsidRDefault="001B5420">
      <w:pPr>
        <w:spacing w:line="249" w:lineRule="auto"/>
        <w:ind w:left="240" w:right="257" w:firstLine="0"/>
      </w:pPr>
      <w:r>
        <w:rPr>
          <w:i/>
          <w:sz w:val="20"/>
        </w:rPr>
        <w:t>Shelly Ronen received her B.A. in psychology from Stanford University in 2009. Her research interests include courtship behaviors, gender and sexuality, feminist theory, and childhood gender development.</w:t>
      </w:r>
    </w:p>
    <w:sectPr w:rsidR="00DE2D67">
      <w:headerReference w:type="even" r:id="rId38"/>
      <w:headerReference w:type="default" r:id="rId39"/>
      <w:footerReference w:type="even" r:id="rId40"/>
      <w:footerReference w:type="default" r:id="rId41"/>
      <w:headerReference w:type="first" r:id="rId42"/>
      <w:footerReference w:type="first" r:id="rId43"/>
      <w:pgSz w:w="8640" w:h="12960"/>
      <w:pgMar w:top="1276" w:right="1063" w:bottom="878" w:left="1080" w:header="566"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420" w:rsidRDefault="001B5420">
      <w:pPr>
        <w:spacing w:after="0" w:line="240" w:lineRule="auto"/>
      </w:pPr>
      <w:r>
        <w:separator/>
      </w:r>
    </w:p>
  </w:endnote>
  <w:endnote w:type="continuationSeparator" w:id="0">
    <w:p w:rsidR="001B5420" w:rsidRDefault="001B5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1B5420">
    <w:pPr>
      <w:spacing w:after="0" w:line="259" w:lineRule="auto"/>
      <w:ind w:left="0" w:right="0"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at Mina Rees Library/CUNY Graduate Center on September 18, 2013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1B5420">
    <w:pPr>
      <w:spacing w:after="0" w:line="259" w:lineRule="auto"/>
      <w:ind w:left="0" w:right="0"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at Mina Rees Library/CUNY Graduate Center on September 18, 2013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1B5420">
    <w:pPr>
      <w:spacing w:after="0" w:line="259" w:lineRule="auto"/>
      <w:ind w:left="0" w:right="0"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at Mina Rees Library/CUNY Graduate Center on September 18, 2013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1B5420">
    <w:pPr>
      <w:spacing w:after="0" w:line="259" w:lineRule="auto"/>
      <w:ind w:left="0" w:right="17"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at Mina Rees Library/CUNY Graduate Center on September 18, 2013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1B5420">
    <w:pPr>
      <w:spacing w:after="0" w:line="259" w:lineRule="auto"/>
      <w:ind w:left="0" w:right="17"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at Mina Rees Library/CUNY Graduate Center on September 18, 2013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1B5420">
    <w:pPr>
      <w:spacing w:after="0" w:line="259" w:lineRule="auto"/>
      <w:ind w:left="0" w:right="17"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at Mina Rees Library/CUNY Graduate Center on September 18, 2013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420" w:rsidRDefault="001B5420">
      <w:pPr>
        <w:spacing w:after="0" w:line="240" w:lineRule="auto"/>
      </w:pPr>
      <w:r>
        <w:separator/>
      </w:r>
    </w:p>
  </w:footnote>
  <w:footnote w:type="continuationSeparator" w:id="0">
    <w:p w:rsidR="001B5420" w:rsidRDefault="001B5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1B5420">
    <w:pPr>
      <w:spacing w:after="0" w:line="259" w:lineRule="auto"/>
      <w:ind w:right="0" w:firstLine="0"/>
      <w:jc w:val="left"/>
    </w:pPr>
    <w:r>
      <w:rPr>
        <w:b/>
        <w:sz w:val="16"/>
      </w:rPr>
      <w:fldChar w:fldCharType="begin"/>
    </w:r>
    <w:r>
      <w:rPr>
        <w:b/>
        <w:sz w:val="16"/>
      </w:rPr>
      <w:instrText xml:space="preserve"> PAGE   \* MERGEF</w:instrText>
    </w:r>
    <w:r>
      <w:rPr>
        <w:b/>
        <w:sz w:val="16"/>
      </w:rPr>
      <w:instrText xml:space="preserve">ORMAT </w:instrText>
    </w:r>
    <w:r>
      <w:rPr>
        <w:b/>
        <w:sz w:val="16"/>
      </w:rPr>
      <w:fldChar w:fldCharType="separate"/>
    </w:r>
    <w:r>
      <w:rPr>
        <w:b/>
        <w:sz w:val="16"/>
      </w:rPr>
      <w:t>356</w:t>
    </w:r>
    <w:r>
      <w:rPr>
        <w:b/>
        <w:sz w:val="16"/>
      </w:rPr>
      <w:fldChar w:fldCharType="end"/>
    </w:r>
    <w:r>
      <w:rPr>
        <w:b/>
        <w:sz w:val="16"/>
      </w:rPr>
      <w:t xml:space="preserve">   </w:t>
    </w:r>
    <w:r>
      <w:rPr>
        <w:b/>
        <w:sz w:val="16"/>
      </w:rPr>
      <w:t> </w:t>
    </w:r>
    <w:r>
      <w:rPr>
        <w:b/>
        <w:sz w:val="16"/>
      </w:rPr>
      <w:t>GENDER &amp; SOCIETY</w:t>
    </w:r>
    <w:r>
      <w:rPr>
        <w:b/>
        <w:sz w:val="16"/>
      </w:rPr>
      <w:t> </w:t>
    </w:r>
    <w:r>
      <w:rPr>
        <w:b/>
        <w:sz w:val="16"/>
      </w:rPr>
      <w:t>/</w:t>
    </w:r>
    <w:r>
      <w:rPr>
        <w:b/>
        <w:sz w:val="16"/>
      </w:rPr>
      <w:t> </w:t>
    </w:r>
    <w:r>
      <w:rPr>
        <w:b/>
        <w:sz w:val="16"/>
      </w:rPr>
      <w:t>June</w:t>
    </w:r>
    <w:r>
      <w:rPr>
        <w:b/>
        <w:sz w:val="16"/>
      </w:rPr>
      <w:t> </w:t>
    </w:r>
    <w:r>
      <w:rPr>
        <w:b/>
        <w:sz w:val="16"/>
      </w:rPr>
      <w:t>2010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DE2D67">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DE2D67">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1B5420">
    <w:pPr>
      <w:spacing w:after="0" w:line="259" w:lineRule="auto"/>
      <w:ind w:left="0" w:right="0" w:firstLine="0"/>
      <w:jc w:val="left"/>
    </w:pPr>
    <w:r>
      <w:rPr>
        <w:b/>
        <w:sz w:val="16"/>
      </w:rPr>
      <w:fldChar w:fldCharType="begin"/>
    </w:r>
    <w:r>
      <w:rPr>
        <w:b/>
        <w:sz w:val="16"/>
      </w:rPr>
      <w:instrText xml:space="preserve"> PAGE   \* MERGEFORMAT </w:instrText>
    </w:r>
    <w:r>
      <w:rPr>
        <w:b/>
        <w:sz w:val="16"/>
      </w:rPr>
      <w:fldChar w:fldCharType="separate"/>
    </w:r>
    <w:r>
      <w:rPr>
        <w:b/>
        <w:sz w:val="16"/>
      </w:rPr>
      <w:t>356</w:t>
    </w:r>
    <w:r>
      <w:rPr>
        <w:b/>
        <w:sz w:val="16"/>
      </w:rPr>
      <w:fldChar w:fldCharType="end"/>
    </w:r>
    <w:r>
      <w:rPr>
        <w:b/>
        <w:sz w:val="16"/>
      </w:rPr>
      <w:t xml:space="preserve">   </w:t>
    </w:r>
    <w:r>
      <w:rPr>
        <w:b/>
        <w:sz w:val="16"/>
      </w:rPr>
      <w:t> </w:t>
    </w:r>
    <w:r>
      <w:rPr>
        <w:b/>
        <w:sz w:val="16"/>
      </w:rPr>
      <w:t>GENDER &amp; SOCIETY</w:t>
    </w:r>
    <w:r>
      <w:rPr>
        <w:b/>
        <w:sz w:val="16"/>
      </w:rPr>
      <w:t> </w:t>
    </w:r>
    <w:r>
      <w:rPr>
        <w:b/>
        <w:sz w:val="16"/>
      </w:rPr>
      <w:t>/</w:t>
    </w:r>
    <w:r>
      <w:rPr>
        <w:b/>
        <w:sz w:val="16"/>
      </w:rPr>
      <w:t> </w:t>
    </w:r>
    <w:r>
      <w:rPr>
        <w:b/>
        <w:sz w:val="16"/>
      </w:rPr>
      <w:t>June</w:t>
    </w:r>
    <w:r>
      <w:rPr>
        <w:b/>
        <w:sz w:val="16"/>
      </w:rPr>
      <w:t> </w:t>
    </w:r>
    <w:r>
      <w:rPr>
        <w:b/>
        <w:sz w:val="16"/>
      </w:rPr>
      <w:t>2010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1B5420">
    <w:pPr>
      <w:spacing w:after="0" w:line="259" w:lineRule="auto"/>
      <w:ind w:left="0" w:right="17" w:firstLine="0"/>
      <w:jc w:val="right"/>
    </w:pPr>
    <w:r>
      <w:rPr>
        <w:b/>
        <w:sz w:val="16"/>
      </w:rPr>
      <w:t>Ronen</w:t>
    </w:r>
    <w:r>
      <w:rPr>
        <w:b/>
        <w:sz w:val="16"/>
      </w:rPr>
      <w:t> </w:t>
    </w:r>
    <w:r>
      <w:rPr>
        <w:b/>
        <w:sz w:val="16"/>
      </w:rPr>
      <w:t>/</w:t>
    </w:r>
    <w:r>
      <w:rPr>
        <w:b/>
        <w:sz w:val="16"/>
      </w:rPr>
      <w:t> </w:t>
    </w:r>
    <w:r>
      <w:rPr>
        <w:b/>
        <w:sz w:val="16"/>
      </w:rPr>
      <w:t>GRINDING</w:t>
    </w:r>
    <w:r>
      <w:rPr>
        <w:b/>
        <w:sz w:val="16"/>
      </w:rPr>
      <w:t> </w:t>
    </w:r>
    <w:r>
      <w:rPr>
        <w:b/>
        <w:sz w:val="16"/>
      </w:rPr>
      <w:t>ON</w:t>
    </w:r>
    <w:r>
      <w:rPr>
        <w:b/>
        <w:sz w:val="16"/>
      </w:rPr>
      <w:t> </w:t>
    </w:r>
    <w:r>
      <w:rPr>
        <w:b/>
        <w:sz w:val="16"/>
      </w:rPr>
      <w:t>THE</w:t>
    </w:r>
    <w:r>
      <w:rPr>
        <w:b/>
        <w:sz w:val="16"/>
      </w:rPr>
      <w:t> </w:t>
    </w:r>
    <w:r>
      <w:rPr>
        <w:b/>
        <w:sz w:val="16"/>
      </w:rPr>
      <w:t>DANCE</w:t>
    </w:r>
    <w:r>
      <w:rPr>
        <w:b/>
        <w:sz w:val="16"/>
      </w:rPr>
      <w:t> </w:t>
    </w:r>
    <w:r>
      <w:rPr>
        <w:b/>
        <w:sz w:val="16"/>
      </w:rPr>
      <w:t xml:space="preserve">FLOOR   </w:t>
    </w:r>
    <w:r>
      <w:rPr>
        <w:b/>
        <w:sz w:val="16"/>
      </w:rPr>
      <w:t> </w:t>
    </w:r>
    <w:r>
      <w:rPr>
        <w:b/>
        <w:sz w:val="16"/>
      </w:rPr>
      <w:fldChar w:fldCharType="begin"/>
    </w:r>
    <w:r>
      <w:rPr>
        <w:b/>
        <w:sz w:val="16"/>
      </w:rPr>
      <w:instrText xml:space="preserve"> PAGE   \* MERGEFORMAT </w:instrText>
    </w:r>
    <w:r>
      <w:rPr>
        <w:b/>
        <w:sz w:val="16"/>
      </w:rPr>
      <w:fldChar w:fldCharType="separate"/>
    </w:r>
    <w:r>
      <w:rPr>
        <w:b/>
        <w:sz w:val="16"/>
      </w:rPr>
      <w:t>357</w:t>
    </w:r>
    <w:r>
      <w:rPr>
        <w:b/>
        <w:sz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D67" w:rsidRDefault="001B5420">
    <w:pPr>
      <w:spacing w:after="0" w:line="259" w:lineRule="auto"/>
      <w:ind w:left="0" w:right="17" w:firstLine="0"/>
      <w:jc w:val="right"/>
    </w:pPr>
    <w:r>
      <w:rPr>
        <w:b/>
        <w:sz w:val="16"/>
      </w:rPr>
      <w:t>Ronen</w:t>
    </w:r>
    <w:r>
      <w:rPr>
        <w:b/>
        <w:sz w:val="16"/>
      </w:rPr>
      <w:t> </w:t>
    </w:r>
    <w:r>
      <w:rPr>
        <w:b/>
        <w:sz w:val="16"/>
      </w:rPr>
      <w:t>/</w:t>
    </w:r>
    <w:r>
      <w:rPr>
        <w:b/>
        <w:sz w:val="16"/>
      </w:rPr>
      <w:t> </w:t>
    </w:r>
    <w:r>
      <w:rPr>
        <w:b/>
        <w:sz w:val="16"/>
      </w:rPr>
      <w:t>GRINDING</w:t>
    </w:r>
    <w:r>
      <w:rPr>
        <w:b/>
        <w:sz w:val="16"/>
      </w:rPr>
      <w:t> </w:t>
    </w:r>
    <w:r>
      <w:rPr>
        <w:b/>
        <w:sz w:val="16"/>
      </w:rPr>
      <w:t>ON</w:t>
    </w:r>
    <w:r>
      <w:rPr>
        <w:b/>
        <w:sz w:val="16"/>
      </w:rPr>
      <w:t> </w:t>
    </w:r>
    <w:r>
      <w:rPr>
        <w:b/>
        <w:sz w:val="16"/>
      </w:rPr>
      <w:t>THE</w:t>
    </w:r>
    <w:r>
      <w:rPr>
        <w:b/>
        <w:sz w:val="16"/>
      </w:rPr>
      <w:t> </w:t>
    </w:r>
    <w:r>
      <w:rPr>
        <w:b/>
        <w:sz w:val="16"/>
      </w:rPr>
      <w:t>DANCE</w:t>
    </w:r>
    <w:r>
      <w:rPr>
        <w:b/>
        <w:sz w:val="16"/>
      </w:rPr>
      <w:t> </w:t>
    </w:r>
    <w:r>
      <w:rPr>
        <w:b/>
        <w:sz w:val="16"/>
      </w:rPr>
      <w:t xml:space="preserve">FLOOR   </w:t>
    </w:r>
    <w:r>
      <w:rPr>
        <w:b/>
        <w:sz w:val="16"/>
      </w:rPr>
      <w:t> </w:t>
    </w:r>
    <w:r>
      <w:rPr>
        <w:b/>
        <w:sz w:val="16"/>
      </w:rPr>
      <w:fldChar w:fldCharType="begin"/>
    </w:r>
    <w:r>
      <w:rPr>
        <w:b/>
        <w:sz w:val="16"/>
      </w:rPr>
      <w:instrText xml:space="preserve"> PAGE   \* MERGEFORMAT </w:instrText>
    </w:r>
    <w:r>
      <w:rPr>
        <w:b/>
        <w:sz w:val="16"/>
      </w:rPr>
      <w:fldChar w:fldCharType="separate"/>
    </w:r>
    <w:r>
      <w:rPr>
        <w:b/>
        <w:sz w:val="16"/>
      </w:rPr>
      <w:t>357</w:t>
    </w:r>
    <w:r>
      <w:rPr>
        <w:b/>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476A81"/>
    <w:multiLevelType w:val="hybridMultilevel"/>
    <w:tmpl w:val="31EECD9A"/>
    <w:lvl w:ilvl="0" w:tplc="058E5CE0">
      <w:start w:val="1"/>
      <w:numFmt w:val="decimal"/>
      <w:lvlText w:val="%1."/>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51D24D14">
      <w:start w:val="1"/>
      <w:numFmt w:val="lowerLetter"/>
      <w:lvlText w:val="%2"/>
      <w:lvlJc w:val="left"/>
      <w:pPr>
        <w:ind w:left="13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8062ADA0">
      <w:start w:val="1"/>
      <w:numFmt w:val="lowerRoman"/>
      <w:lvlText w:val="%3"/>
      <w:lvlJc w:val="left"/>
      <w:pPr>
        <w:ind w:left="20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85962BF8">
      <w:start w:val="1"/>
      <w:numFmt w:val="decimal"/>
      <w:lvlText w:val="%4"/>
      <w:lvlJc w:val="left"/>
      <w:pPr>
        <w:ind w:left="27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56BCE138">
      <w:start w:val="1"/>
      <w:numFmt w:val="lowerLetter"/>
      <w:lvlText w:val="%5"/>
      <w:lvlJc w:val="left"/>
      <w:pPr>
        <w:ind w:left="34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A4526476">
      <w:start w:val="1"/>
      <w:numFmt w:val="lowerRoman"/>
      <w:lvlText w:val="%6"/>
      <w:lvlJc w:val="left"/>
      <w:pPr>
        <w:ind w:left="42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A2F07D60">
      <w:start w:val="1"/>
      <w:numFmt w:val="decimal"/>
      <w:lvlText w:val="%7"/>
      <w:lvlJc w:val="left"/>
      <w:pPr>
        <w:ind w:left="49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36384D08">
      <w:start w:val="1"/>
      <w:numFmt w:val="lowerLetter"/>
      <w:lvlText w:val="%8"/>
      <w:lvlJc w:val="left"/>
      <w:pPr>
        <w:ind w:left="56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C546AE8E">
      <w:start w:val="1"/>
      <w:numFmt w:val="lowerRoman"/>
      <w:lvlText w:val="%9"/>
      <w:lvlJc w:val="left"/>
      <w:pPr>
        <w:ind w:left="63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D67"/>
    <w:rsid w:val="001B5420"/>
    <w:rsid w:val="00DE2D67"/>
    <w:rsid w:val="00F80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F0B9F8-CF27-41B3-B11F-4C4028551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52" w:lineRule="auto"/>
      <w:ind w:left="1021" w:right="1021" w:firstLine="230"/>
      <w:jc w:val="both"/>
    </w:pPr>
    <w:rPr>
      <w:rFonts w:ascii="Times New Roman" w:eastAsia="Times New Roman" w:hAnsi="Times New Roman" w:cs="Times New Roman"/>
      <w:color w:val="181717"/>
    </w:rPr>
  </w:style>
  <w:style w:type="paragraph" w:styleId="Heading1">
    <w:name w:val="heading 1"/>
    <w:next w:val="Normal"/>
    <w:link w:val="Heading1Char"/>
    <w:uiPriority w:val="9"/>
    <w:qFormat/>
    <w:pPr>
      <w:keepNext/>
      <w:keepLines/>
      <w:spacing w:after="125"/>
      <w:ind w:left="10" w:right="17" w:hanging="10"/>
      <w:outlineLvl w:val="0"/>
    </w:pPr>
    <w:rPr>
      <w:rFonts w:ascii="Times New Roman" w:eastAsia="Times New Roman" w:hAnsi="Times New Roman" w:cs="Times New Roman"/>
      <w:b/>
      <w:color w:val="1817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181717"/>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gas.sagepub.com/" TargetMode="External"/><Relationship Id="rId13" Type="http://schemas.openxmlformats.org/officeDocument/2006/relationships/image" Target="media/image1.jpg"/><Relationship Id="rId18" Type="http://schemas.openxmlformats.org/officeDocument/2006/relationships/hyperlink" Target="http://gas.sagepub.com/cgi/alerts" TargetMode="External"/><Relationship Id="rId26" Type="http://schemas.openxmlformats.org/officeDocument/2006/relationships/hyperlink" Target="http://gas.sagepub.com/content/24/3/355.refs.html" TargetMode="External"/><Relationship Id="rId39"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yperlink" Target="http://gas.sagepub.com/subscriptions" TargetMode="External"/><Relationship Id="rId34" Type="http://schemas.openxmlformats.org/officeDocument/2006/relationships/footer" Target="footer1.xml"/><Relationship Id="rId42" Type="http://schemas.openxmlformats.org/officeDocument/2006/relationships/header" Target="header6.xml"/><Relationship Id="rId7" Type="http://schemas.openxmlformats.org/officeDocument/2006/relationships/hyperlink" Target="http://gas.sagepub.com/" TargetMode="External"/><Relationship Id="rId12" Type="http://schemas.openxmlformats.org/officeDocument/2006/relationships/hyperlink" Target="http://www.sagepublications.com/" TargetMode="External"/><Relationship Id="rId17" Type="http://schemas.openxmlformats.org/officeDocument/2006/relationships/hyperlink" Target="http://www.socwomen.org/" TargetMode="External"/><Relationship Id="rId25" Type="http://schemas.openxmlformats.org/officeDocument/2006/relationships/hyperlink" Target="http://www.sagepub.com/journalsPermissions.nav" TargetMode="External"/><Relationship Id="rId33" Type="http://schemas.openxmlformats.org/officeDocument/2006/relationships/header" Target="header2.xml"/><Relationship Id="rId38"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www.socwomen.org/" TargetMode="External"/><Relationship Id="rId20" Type="http://schemas.openxmlformats.org/officeDocument/2006/relationships/hyperlink" Target="http://gas.sagepub.com/subscriptions" TargetMode="External"/><Relationship Id="rId29" Type="http://schemas.openxmlformats.org/officeDocument/2006/relationships/hyperlink" Target="http://gas.sagepub.com/content/24/3/355.full.pdf" TargetMode="External"/><Relationship Id="rId4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gepublications.com/" TargetMode="External"/><Relationship Id="rId24" Type="http://schemas.openxmlformats.org/officeDocument/2006/relationships/hyperlink" Target="http://www.sagepub.com/journalsPermissions.nav"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jpg"/><Relationship Id="rId23" Type="http://schemas.openxmlformats.org/officeDocument/2006/relationships/hyperlink" Target="http://www.sagepub.com/journalsReprints.nav" TargetMode="External"/><Relationship Id="rId28" Type="http://schemas.openxmlformats.org/officeDocument/2006/relationships/hyperlink" Target="http://gas.sagepub.com/content/24/3/355.full.pdf" TargetMode="External"/><Relationship Id="rId36" Type="http://schemas.openxmlformats.org/officeDocument/2006/relationships/header" Target="header3.xml"/><Relationship Id="rId10" Type="http://schemas.openxmlformats.org/officeDocument/2006/relationships/hyperlink" Target="http://gas.sagepub.com/content/24/3/355" TargetMode="External"/><Relationship Id="rId19" Type="http://schemas.openxmlformats.org/officeDocument/2006/relationships/hyperlink" Target="http://gas.sagepub.com/cgi/alerts" TargetMode="External"/><Relationship Id="rId31" Type="http://schemas.openxmlformats.org/officeDocument/2006/relationships/hyperlink" Target="http://online.sagepub.com/site/sphelp/vorhelp.xhtm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gas.sagepub.com/content/24/3/355" TargetMode="External"/><Relationship Id="rId14" Type="http://schemas.openxmlformats.org/officeDocument/2006/relationships/image" Target="media/image0.jpg"/><Relationship Id="rId22" Type="http://schemas.openxmlformats.org/officeDocument/2006/relationships/hyperlink" Target="http://www.sagepub.com/journalsReprints.nav" TargetMode="External"/><Relationship Id="rId27" Type="http://schemas.openxmlformats.org/officeDocument/2006/relationships/hyperlink" Target="http://gas.sagepub.com/content/24/3/355.refs.html" TargetMode="External"/><Relationship Id="rId30" Type="http://schemas.openxmlformats.org/officeDocument/2006/relationships/hyperlink" Target="http://online.sagepub.com/site/sphelp/vorhelp.xhtml" TargetMode="External"/><Relationship Id="rId35" Type="http://schemas.openxmlformats.org/officeDocument/2006/relationships/footer" Target="footer2.xml"/><Relationship Id="rId43"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9251</Words>
  <Characters>52733</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faiza hamlani</dc:creator>
  <cp:keywords/>
  <cp:lastModifiedBy>faiza hamlani</cp:lastModifiedBy>
  <cp:revision>2</cp:revision>
  <dcterms:created xsi:type="dcterms:W3CDTF">2019-02-20T22:32:00Z</dcterms:created>
  <dcterms:modified xsi:type="dcterms:W3CDTF">2019-02-20T22:32:00Z</dcterms:modified>
</cp:coreProperties>
</file>