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F7B" w:rsidRDefault="00D7572D">
      <w:pPr>
        <w:tabs>
          <w:tab w:val="right" w:pos="7175"/>
        </w:tabs>
        <w:spacing w:after="11" w:line="248" w:lineRule="auto"/>
        <w:ind w:left="-15" w:right="0" w:firstLine="0"/>
        <w:jc w:val="left"/>
      </w:pPr>
      <w:bookmarkStart w:id="0" w:name="_GoBack"/>
      <w:bookmarkEnd w:id="0"/>
      <w:r>
        <w:rPr>
          <w:sz w:val="18"/>
        </w:rPr>
        <w:t>Culture, Health &amp; Sexuality</w:t>
      </w:r>
      <w:r>
        <w:rPr>
          <w:sz w:val="18"/>
        </w:rPr>
        <w:tab/>
      </w:r>
      <w:r>
        <w:rPr>
          <w:noProof/>
        </w:rPr>
        <w:drawing>
          <wp:inline distT="0" distB="0" distL="0" distR="0">
            <wp:extent cx="685800" cy="195072"/>
            <wp:effectExtent l="0" t="0" r="0" b="0"/>
            <wp:docPr id="12743" name="Picture 12743"/>
            <wp:cNvGraphicFramePr/>
            <a:graphic xmlns:a="http://schemas.openxmlformats.org/drawingml/2006/main">
              <a:graphicData uri="http://schemas.openxmlformats.org/drawingml/2006/picture">
                <pic:pic xmlns:pic="http://schemas.openxmlformats.org/drawingml/2006/picture">
                  <pic:nvPicPr>
                    <pic:cNvPr id="12743" name="Picture 12743"/>
                    <pic:cNvPicPr/>
                  </pic:nvPicPr>
                  <pic:blipFill>
                    <a:blip r:embed="rId6"/>
                    <a:stretch>
                      <a:fillRect/>
                    </a:stretch>
                  </pic:blipFill>
                  <pic:spPr>
                    <a:xfrm>
                      <a:off x="0" y="0"/>
                      <a:ext cx="685800" cy="195072"/>
                    </a:xfrm>
                    <a:prstGeom prst="rect">
                      <a:avLst/>
                    </a:prstGeom>
                  </pic:spPr>
                </pic:pic>
              </a:graphicData>
            </a:graphic>
          </wp:inline>
        </w:drawing>
      </w:r>
    </w:p>
    <w:p w:rsidR="00345F7B" w:rsidRDefault="00D7572D">
      <w:pPr>
        <w:spacing w:after="831" w:line="256" w:lineRule="auto"/>
        <w:ind w:left="-15" w:firstLine="0"/>
      </w:pPr>
      <w:r>
        <w:rPr>
          <w:sz w:val="18"/>
        </w:rPr>
        <w:t>Vol. 14, No. 5, May 2012, 537–548</w:t>
      </w:r>
    </w:p>
    <w:p w:rsidR="00345F7B" w:rsidRDefault="00D7572D">
      <w:pPr>
        <w:spacing w:after="42" w:line="380" w:lineRule="auto"/>
        <w:ind w:right="0" w:firstLine="0"/>
        <w:jc w:val="left"/>
      </w:pPr>
      <w:r>
        <w:rPr>
          <w:sz w:val="24"/>
        </w:rPr>
        <w:t xml:space="preserve">End-of-life care for gay, lesbian, bisexual and transgender people </w:t>
      </w:r>
      <w:r>
        <w:t>Colleen Cartwright</w:t>
      </w:r>
      <w:r>
        <w:rPr>
          <w:vertAlign w:val="superscript"/>
        </w:rPr>
        <w:t>a</w:t>
      </w:r>
      <w:r>
        <w:t>, Mark Hughes</w:t>
      </w:r>
      <w:r>
        <w:rPr>
          <w:vertAlign w:val="superscript"/>
        </w:rPr>
        <w:t>b</w:t>
      </w:r>
      <w:r>
        <w:t>* and Tania Lienert</w:t>
      </w:r>
      <w:r>
        <w:rPr>
          <w:vertAlign w:val="superscript"/>
        </w:rPr>
        <w:t>1</w:t>
      </w:r>
    </w:p>
    <w:p w:rsidR="00345F7B" w:rsidRDefault="00D7572D">
      <w:pPr>
        <w:spacing w:after="0" w:line="259" w:lineRule="auto"/>
        <w:ind w:right="0" w:firstLine="0"/>
        <w:jc w:val="left"/>
      </w:pPr>
      <w:r>
        <w:rPr>
          <w:sz w:val="12"/>
        </w:rPr>
        <w:t>a</w:t>
      </w:r>
    </w:p>
    <w:p w:rsidR="00345F7B" w:rsidRDefault="00D7572D">
      <w:pPr>
        <w:spacing w:after="11" w:line="248" w:lineRule="auto"/>
        <w:ind w:left="-5" w:right="0" w:hanging="10"/>
        <w:jc w:val="left"/>
      </w:pPr>
      <w:r>
        <w:rPr>
          <w:sz w:val="18"/>
        </w:rPr>
        <w:t>ASLaRC Aged Services Unit, School of Health and Human Sciences, Southern Cross University,</w:t>
      </w:r>
    </w:p>
    <w:p w:rsidR="00345F7B" w:rsidRDefault="00D7572D">
      <w:pPr>
        <w:spacing w:after="103" w:line="248" w:lineRule="auto"/>
        <w:ind w:left="-5" w:right="0" w:hanging="10"/>
        <w:jc w:val="left"/>
      </w:pPr>
      <w:r>
        <w:rPr>
          <w:sz w:val="18"/>
        </w:rPr>
        <w:t xml:space="preserve">Tweed Heads, Australia; </w:t>
      </w:r>
      <w:r>
        <w:rPr>
          <w:sz w:val="18"/>
          <w:vertAlign w:val="superscript"/>
        </w:rPr>
        <w:t>b</w:t>
      </w:r>
      <w:r>
        <w:rPr>
          <w:sz w:val="18"/>
        </w:rPr>
        <w:t>School of Arts and Social Sciences, Southern Cross University, Tweed Heads, Australia</w:t>
      </w:r>
    </w:p>
    <w:p w:rsidR="00345F7B" w:rsidRDefault="00D7572D">
      <w:pPr>
        <w:spacing w:after="225" w:line="248" w:lineRule="auto"/>
        <w:ind w:left="-5" w:right="0" w:hanging="10"/>
        <w:jc w:val="left"/>
      </w:pPr>
      <w:r>
        <w:rPr>
          <w:sz w:val="18"/>
        </w:rPr>
        <w:t>(</w:t>
      </w:r>
      <w:r>
        <w:rPr>
          <w:sz w:val="18"/>
        </w:rPr>
        <w:t>Received 10 October 2011; final version received 5 Ma</w:t>
      </w:r>
      <w:r>
        <w:rPr>
          <w:sz w:val="18"/>
        </w:rPr>
        <w:t>rch 2012</w:t>
      </w:r>
      <w:r>
        <w:rPr>
          <w:sz w:val="18"/>
        </w:rPr>
        <w:t>)</w:t>
      </w:r>
    </w:p>
    <w:p w:rsidR="00345F7B" w:rsidRDefault="00D7572D">
      <w:pPr>
        <w:spacing w:after="124" w:line="256" w:lineRule="auto"/>
        <w:ind w:left="479" w:right="480" w:firstLine="0"/>
      </w:pPr>
      <w:r>
        <w:rPr>
          <w:sz w:val="18"/>
        </w:rPr>
        <w:t>There is little understanding in Australia of the special issues faced by gay, lesbian, bisexual and transgender people in end-of-life care and advance care planning. This exploratory study aimed to achieve an initial understanding of these issue</w:t>
      </w:r>
      <w:r>
        <w:rPr>
          <w:sz w:val="18"/>
        </w:rPr>
        <w:t>s to inform the development of a larger study involving gay, lesbian, bisexual and transgender service users. Consultations were carried out with 19 service providers and 6 gay, lesbian, bisexual and transgender community members in the Northern Rivers and</w:t>
      </w:r>
      <w:r>
        <w:rPr>
          <w:sz w:val="18"/>
        </w:rPr>
        <w:t xml:space="preserve"> metropolitan Sydney areas of New South Wales, Australia. Participants reported barriers to health care service access due to discrimination, inappropriate care and lack of knowledge among both consumers and health care workers of legal rights at the end o</w:t>
      </w:r>
      <w:r>
        <w:rPr>
          <w:sz w:val="18"/>
        </w:rPr>
        <w:t>f life. While advance care planning can assist with improving end-of-life care, respondents reported a number of obstacles. These included a lack of knowledge and absence of perceived need and the additional obstacle of social isolation, leading to difficu</w:t>
      </w:r>
      <w:r>
        <w:rPr>
          <w:sz w:val="18"/>
        </w:rPr>
        <w:t>lties identifying alternative decision-makers. The study highlighted the need for education for gay, lesbian, bisexual and transgender people and health and aged care providers on existing legal provisions to prevent discrimination in end-of-life care.</w:t>
      </w:r>
    </w:p>
    <w:p w:rsidR="00345F7B" w:rsidRDefault="00D7572D">
      <w:pPr>
        <w:spacing w:after="582" w:line="256" w:lineRule="auto"/>
        <w:ind w:left="479" w:firstLine="0"/>
      </w:pPr>
      <w:r>
        <w:rPr>
          <w:sz w:val="18"/>
        </w:rPr>
        <w:t xml:space="preserve">Keywords: </w:t>
      </w:r>
      <w:r>
        <w:rPr>
          <w:sz w:val="18"/>
        </w:rPr>
        <w:t>lesbians; gay men; LGBT; end-of-life care; palliative care; Australia</w:t>
      </w:r>
    </w:p>
    <w:p w:rsidR="00345F7B" w:rsidRDefault="00D7572D">
      <w:pPr>
        <w:pStyle w:val="Heading1"/>
        <w:ind w:left="-5"/>
      </w:pPr>
      <w:r>
        <w:t>Introduction</w:t>
      </w:r>
    </w:p>
    <w:p w:rsidR="00345F7B" w:rsidRDefault="00D7572D">
      <w:pPr>
        <w:ind w:left="-15" w:right="-12" w:firstLine="0"/>
      </w:pPr>
      <w:r>
        <w:t xml:space="preserve">Research into gay, lesbian, bisexual and transgender end-of-life care is limited, with most studies originating in North America and focusing on younger gay men’s </w:t>
      </w:r>
      <w:r>
        <w:t>experience of HIV/AIDS (Almack, Seymour, and Bellamy 2010). However, like the population generally (Seale 2004), most gay, lesbian, bisexual and transgender people’s experience of end-of-life care does not relate specifically to HIV and AIDS and occurs alo</w:t>
      </w:r>
      <w:r>
        <w:t>ngside their experience of growing older and accessing health and aged care services (Almack, Seymour, and Bellamy 2010). Notably, gay, lesbian, bisexual and transgender people are more susceptible to certain life-threatening conditions whose prevalence in</w:t>
      </w:r>
      <w:r>
        <w:t>creases with age. For example, as they grow older, lesbians are at greater risk than other women of breast and endometrial cancer (Cochran et al. 2001), gay and bisexual men are more at risk of Hodgkin’s disease, anal cancer and non-Hodgkin’s lymphoma (Smo</w:t>
      </w:r>
      <w:r>
        <w:t>linski and Colo´n 2006) and transgender people have a greater susceptibility to diabetes, cardiovascular disease and liver abnormalities (Williams and Freeman 2007).</w:t>
      </w:r>
    </w:p>
    <w:p w:rsidR="00345F7B" w:rsidRDefault="00D7572D">
      <w:pPr>
        <w:spacing w:after="196"/>
        <w:ind w:left="-15" w:right="-12"/>
      </w:pPr>
      <w:r>
        <w:t>This paper documents an exploratory study into gay, lesbian, bisexual and transgender peop</w:t>
      </w:r>
      <w:r>
        <w:t>le’s experiences with end-of-life care as reported by service providers and members</w:t>
      </w:r>
    </w:p>
    <w:p w:rsidR="00345F7B" w:rsidRDefault="00D7572D">
      <w:pPr>
        <w:spacing w:after="76" w:line="259" w:lineRule="auto"/>
        <w:ind w:right="0" w:firstLine="0"/>
        <w:jc w:val="left"/>
      </w:pPr>
      <w:r>
        <w:rPr>
          <w:rFonts w:ascii="Calibri" w:eastAsia="Calibri" w:hAnsi="Calibri" w:cs="Calibri"/>
          <w:noProof/>
          <w:color w:val="000000"/>
          <w:sz w:val="22"/>
        </w:rPr>
        <mc:AlternateContent>
          <mc:Choice Requires="wpg">
            <w:drawing>
              <wp:inline distT="0" distB="0" distL="0" distR="0">
                <wp:extent cx="4554716" cy="6477"/>
                <wp:effectExtent l="0" t="0" r="0" b="0"/>
                <wp:docPr id="10776" name="Group 10776"/>
                <wp:cNvGraphicFramePr/>
                <a:graphic xmlns:a="http://schemas.openxmlformats.org/drawingml/2006/main">
                  <a:graphicData uri="http://schemas.microsoft.com/office/word/2010/wordprocessingGroup">
                    <wpg:wgp>
                      <wpg:cNvGrpSpPr/>
                      <wpg:grpSpPr>
                        <a:xfrm>
                          <a:off x="0" y="0"/>
                          <a:ext cx="4554716" cy="6477"/>
                          <a:chOff x="0" y="0"/>
                          <a:chExt cx="4554716" cy="6477"/>
                        </a:xfrm>
                      </wpg:grpSpPr>
                      <wps:wsp>
                        <wps:cNvPr id="12922" name="Shape 12922"/>
                        <wps:cNvSpPr/>
                        <wps:spPr>
                          <a:xfrm>
                            <a:off x="0" y="0"/>
                            <a:ext cx="4554716" cy="9144"/>
                          </a:xfrm>
                          <a:custGeom>
                            <a:avLst/>
                            <a:gdLst/>
                            <a:ahLst/>
                            <a:cxnLst/>
                            <a:rect l="0" t="0" r="0" b="0"/>
                            <a:pathLst>
                              <a:path w="4554716" h="9144">
                                <a:moveTo>
                                  <a:pt x="0" y="0"/>
                                </a:moveTo>
                                <a:lnTo>
                                  <a:pt x="4554716" y="0"/>
                                </a:lnTo>
                                <a:lnTo>
                                  <a:pt x="45547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776" style="width:358.639pt;height:0.51001pt;mso-position-horizontal-relative:char;mso-position-vertical-relative:line" coordsize="45547,64">
                <v:shape id="Shape 12923" style="position:absolute;width:45547;height:91;left:0;top:0;" coordsize="4554716,9144" path="m0,0l4554716,0l4554716,9144l0,9144l0,0">
                  <v:stroke weight="0pt" endcap="flat" joinstyle="miter" miterlimit="10" on="false" color="#000000" opacity="0"/>
                  <v:fill on="true" color="#000000"/>
                </v:shape>
              </v:group>
            </w:pict>
          </mc:Fallback>
        </mc:AlternateContent>
      </w:r>
    </w:p>
    <w:p w:rsidR="00345F7B" w:rsidRDefault="00D7572D">
      <w:pPr>
        <w:spacing w:after="196" w:line="256" w:lineRule="auto"/>
        <w:ind w:left="-15" w:firstLine="0"/>
      </w:pPr>
      <w:r>
        <w:rPr>
          <w:sz w:val="18"/>
        </w:rPr>
        <w:lastRenderedPageBreak/>
        <w:t>*Corresponding author. Email: mark.hughes@scu.edu.au</w:t>
      </w:r>
    </w:p>
    <w:p w:rsidR="00345F7B" w:rsidRDefault="00D7572D">
      <w:pPr>
        <w:spacing w:after="5" w:line="274" w:lineRule="auto"/>
        <w:ind w:left="-5" w:right="2817" w:hanging="10"/>
        <w:jc w:val="left"/>
      </w:pPr>
      <w:r>
        <w:rPr>
          <w:sz w:val="14"/>
        </w:rPr>
        <w:t xml:space="preserve">ISSN 1369-1058 print/ISSN 1464-5351 online </w:t>
      </w:r>
      <w:r>
        <w:rPr>
          <w:rFonts w:ascii="Calibri" w:eastAsia="Calibri" w:hAnsi="Calibri" w:cs="Calibri"/>
          <w:sz w:val="14"/>
        </w:rPr>
        <w:t xml:space="preserve">q </w:t>
      </w:r>
      <w:r>
        <w:rPr>
          <w:sz w:val="14"/>
        </w:rPr>
        <w:t>2012 Taylor &amp; Francis</w:t>
      </w:r>
    </w:p>
    <w:p w:rsidR="00345F7B" w:rsidRDefault="00D7572D">
      <w:pPr>
        <w:spacing w:after="5" w:line="274" w:lineRule="auto"/>
        <w:ind w:left="-5" w:right="2817" w:hanging="10"/>
        <w:jc w:val="left"/>
      </w:pPr>
      <w:hyperlink r:id="rId7">
        <w:r>
          <w:rPr>
            <w:sz w:val="14"/>
          </w:rPr>
          <w:t xml:space="preserve">http://dx.doi.org/10.1080/13691058.2012.673639 </w:t>
        </w:r>
      </w:hyperlink>
      <w:hyperlink r:id="rId8">
        <w:r>
          <w:rPr>
            <w:sz w:val="14"/>
          </w:rPr>
          <w:t>http://www.tandfonline.com</w:t>
        </w:r>
      </w:hyperlink>
    </w:p>
    <w:p w:rsidR="00345F7B" w:rsidRDefault="00D7572D">
      <w:pPr>
        <w:spacing w:after="357"/>
        <w:ind w:left="-15" w:right="-12" w:firstLine="0"/>
      </w:pPr>
      <w:r>
        <w:t>of gay, lesbian, bisexual and transgender community organisations. While some of the experiences gay, lesbian, bisexual</w:t>
      </w:r>
      <w:r>
        <w:t xml:space="preserve"> and transgender people face at end of life are similar to those experienced by non-gay, lesbian, bisexual and transgender people, others are different. In particular, this paper highlights the ongoing challenge gay, lesbian, bisexual and transgender peopl</w:t>
      </w:r>
      <w:r>
        <w:t>e face in having their gender and sexual identities appropriately recognised, as well as the need for a better understanding of their rights towards the end of life. We locate this study initially within the wider literature on end-of-life care and advance</w:t>
      </w:r>
      <w:r>
        <w:t xml:space="preserve"> care planning and then explore the unique issues identified in relation to the gay, lesbian, bisexual and transgender population.</w:t>
      </w:r>
    </w:p>
    <w:p w:rsidR="00345F7B" w:rsidRDefault="00D7572D">
      <w:pPr>
        <w:pStyle w:val="Heading1"/>
        <w:ind w:left="-5"/>
      </w:pPr>
      <w:r>
        <w:t>Review of the literature</w:t>
      </w:r>
    </w:p>
    <w:p w:rsidR="00345F7B" w:rsidRDefault="00D7572D">
      <w:pPr>
        <w:spacing w:after="54" w:line="254" w:lineRule="auto"/>
        <w:ind w:left="-5" w:right="0" w:hanging="10"/>
        <w:jc w:val="left"/>
      </w:pPr>
      <w:r>
        <w:t>End-of-life care and advance care planning</w:t>
      </w:r>
    </w:p>
    <w:p w:rsidR="00345F7B" w:rsidRDefault="00D7572D">
      <w:pPr>
        <w:ind w:left="-15" w:right="-12" w:firstLine="0"/>
      </w:pPr>
      <w:r>
        <w:t>Detering et al. (2010) note that ‘[s]ince the 1990s there has been an increasing awareness of the inadequacy of end of life care’ (1). In part, this increased awareness may be attributed to both the ageing of the population, which, in turn, means an increa</w:t>
      </w:r>
      <w:r>
        <w:t>sing number of people dying with dementia, and concerns about the cost of end-of-life care. However, it may also be part of a generational effect, as Baby Boomers demand better care for their parents and, in increasing numbers, for themselves. Carers of pe</w:t>
      </w:r>
      <w:r>
        <w:t>ople who have died are demanding more appropriate end-of-life care, with less use of invasive technologies that merely prolong the dying process, without offering benefit to the patient (Cartwright 2004). Access to expert end-of-life palliative care provid</w:t>
      </w:r>
      <w:r>
        <w:t>es some patients with a good quality death but not all patients have such access. When patients lose the capacity to make their own decisions, they risk being cared for in a way they would not have chosen (Detering et al. 2010). Advance care planning can a</w:t>
      </w:r>
      <w:r>
        <w:t>ssist patients to plan for the treatment they will or will not receive during the dying process and to appoint a substitute decisionmaker to ensure that their wishes are respected (Cartwright and Parker 2004; Detering et al. 2010).</w:t>
      </w:r>
    </w:p>
    <w:p w:rsidR="00345F7B" w:rsidRDefault="00D7572D">
      <w:pPr>
        <w:ind w:left="-15" w:right="-12"/>
      </w:pPr>
      <w:r>
        <w:t>Every competent adult in Australia has the legal right under common law to accept or refuse any health care or treatment (Cartwright 2011). In addition, in common with the UK (British Medical Association 2009) and the USA (Gillick 2004), all states/territo</w:t>
      </w:r>
      <w:r>
        <w:t xml:space="preserve">ries of Australia have legislative provision for appointing a substitute decision-maker, writing an advance health care directive or both (Cartwright 2011). However, the first common law case in Australia, which clarified the legally-binding nature of the </w:t>
      </w:r>
      <w:r>
        <w:t>written advance health care directive, occurred in the NSW Supreme Court as recently as 2009 (Hunter and New England Area Health Service v A [2009] NSWSC 761). Notably, knowledge of the law among doctors, nurses and community members is minimal (Cartwright</w:t>
      </w:r>
      <w:r>
        <w:t xml:space="preserve"> et al. 2006, 2009).</w:t>
      </w:r>
    </w:p>
    <w:p w:rsidR="00345F7B" w:rsidRDefault="00D7572D">
      <w:pPr>
        <w:spacing w:after="419"/>
        <w:ind w:left="-15" w:right="-12"/>
      </w:pPr>
      <w:r>
        <w:t>A range of barriers to effective decision-making on end-of-life care have been identified in international and Australian research. In addition to a lack of knowledge of the legal provisions, as noted above, another major barrier is th</w:t>
      </w:r>
      <w:r>
        <w:t>e lack of time health care practitioners have to facilitate such discussions with patients (Bloomer, Tan, and Lee 2010; Seymour, Almack, and Kennedy 2010). Effective communication on this issue may be blocked through a lack of rapport between practitioners</w:t>
      </w:r>
      <w:r>
        <w:t xml:space="preserve"> and patients, as well as an assumption that people do not want to talk about such matters (Bloomer, Tan, and Lee 2010). The unique and complex trajectory of specific diseases and conditions, such as chronic obstructive pulmonary disease, can also impede e</w:t>
      </w:r>
      <w:r>
        <w:t xml:space="preserve">ffective advance care planning (Heffner 2011). Similarly, psychological adjustment to declining health impacts on people’s readiness to participate in decisions regarding the end of one’s life (Fried et al. 2009). Clearly, the onset </w:t>
      </w:r>
      <w:r>
        <w:lastRenderedPageBreak/>
        <w:t>of dementia – which lim</w:t>
      </w:r>
      <w:r>
        <w:t>its the period of legal competence to make decisions regarding advance care planning – is a major barrier (Stewart et al. 2011). Overall, though, one of the most common themes from prior research on barriers to advance care planning is individuals’ perceiv</w:t>
      </w:r>
      <w:r>
        <w:t>ed lack of need for such plans (Schickedanz et al. 2009).</w:t>
      </w:r>
    </w:p>
    <w:p w:rsidR="00345F7B" w:rsidRDefault="00D7572D">
      <w:pPr>
        <w:spacing w:after="54" w:line="254" w:lineRule="auto"/>
        <w:ind w:left="-5" w:right="0" w:hanging="10"/>
        <w:jc w:val="left"/>
      </w:pPr>
      <w:r>
        <w:t>Gay, lesbian, bisexual and transgender people’s experiences with end-of-life care and advance care planning</w:t>
      </w:r>
    </w:p>
    <w:p w:rsidR="00345F7B" w:rsidRDefault="00D7572D">
      <w:pPr>
        <w:ind w:left="-15" w:right="-12" w:firstLine="0"/>
      </w:pPr>
      <w:r>
        <w:t>Many of the experiences of gay, lesbian, bisexual and transgender people in receiving endo</w:t>
      </w:r>
      <w:r>
        <w:t>f-life care are similar to those of non-gay, lesbian, bisexual and transgender people (Smolinski and Colo´n 2006). Nonetheless, some particular challenges facing gay, lesbian, bisexual and transgender people in accessing end-of-life care have been identifi</w:t>
      </w:r>
      <w:r>
        <w:t>ed in prior literature, although it is recognised that international research on this topic is in its infancy (Almack, Seymour, and Bellamy 2010; Smolinski and Colo´n 2006) and there have been no prior studies on gay, lesbian, bisexual and transgender end-</w:t>
      </w:r>
      <w:r>
        <w:t>of-life care, outside of those related to HIV and AIDS, conducted in Australia.</w:t>
      </w:r>
    </w:p>
    <w:p w:rsidR="00345F7B" w:rsidRDefault="00D7572D">
      <w:pPr>
        <w:ind w:left="-15" w:right="-12"/>
      </w:pPr>
      <w:r>
        <w:t xml:space="preserve">Key barriers faced by gay, lesbian, bisexual and transgender people in receiving endof-life care and making end-of-life decisions include discrimination and heteronormativity, </w:t>
      </w:r>
      <w:r>
        <w:t>particularly in the assumption that all people are heterosexual and the failure to provide gay, lesbian, bisexual and transgender-friendly environments for care delivery. It is well documented that gay, lesbian, bisexual and transgender people are less lik</w:t>
      </w:r>
      <w:r>
        <w:t xml:space="preserve">ely than others to seek health care because of discomfort in disclosing sexual or gender identity to providers (Auger 2003; Smolinski and Colo´n 2006). Actual experience of discrimination and abuse, as well as fears of such treatment (e.g. because of past </w:t>
      </w:r>
      <w:r>
        <w:t>negative expeirences) are major barriers for people maintaining contact with health care providers and seeking assistance in a timely manner (Blevins and Werth 2006; Hughes 2007).</w:t>
      </w:r>
    </w:p>
    <w:p w:rsidR="00345F7B" w:rsidRDefault="00D7572D">
      <w:pPr>
        <w:ind w:left="-15" w:right="-12"/>
      </w:pPr>
      <w:r>
        <w:t>The experience of bereavement may also be different for gay, lesbian, bisexu</w:t>
      </w:r>
      <w:r>
        <w:t>al and transgender individuals compared to the general population. The legacy of more than two decades of AIDS-related losses – despite treatment advances increasing survival times – has resulted in direct, indirect, historical and cumulative effects (Blev</w:t>
      </w:r>
      <w:r>
        <w:t>ins and Werth 2006). Surviving partners of those who have died from AIDS-related illnesses may face particular challenges, including survivor guilt and negative impacts on self-esteem and identity. HIV-positive gay men who are growing older may also suffer</w:t>
      </w:r>
      <w:r>
        <w:t xml:space="preserve"> from interrupted careers, rely heavily on benefits and have reduced social networks (Owen and Catalan 2012).</w:t>
      </w:r>
    </w:p>
    <w:p w:rsidR="00345F7B" w:rsidRDefault="00D7572D">
      <w:pPr>
        <w:ind w:left="-15" w:right="-12"/>
      </w:pPr>
      <w:r>
        <w:t>Disenfranchised grief – where the grief of a bereaved person is not acknowledged or perceived as legitimate (Doka 1989) – may be greater among the</w:t>
      </w:r>
      <w:r>
        <w:t xml:space="preserve"> gay, lesbian, bisexual and transgender community when same-sex partners are not recognised by service providers and family members and when gay, lesbian, bisexual and transgender friends – sometimes including former partners – are not appreciated as signi</w:t>
      </w:r>
      <w:r>
        <w:t>ficant members of a ‘family of choice’ (Almack, Seymour, and Bellamy 2010; Smolinski and Colo´n 2006). This is a particular concern when one or more individuals are ‘in the closet’ and thus may not be visible to family, friends and service providers. All o</w:t>
      </w:r>
      <w:r>
        <w:t>f the above problems can lead to isolation, late presentation for treatment, which results in the need for crisis management, and can complicate the experience of end-of-life care (Auger 2003).</w:t>
      </w:r>
    </w:p>
    <w:p w:rsidR="00345F7B" w:rsidRDefault="00D7572D">
      <w:pPr>
        <w:ind w:left="-15" w:right="-12"/>
      </w:pPr>
      <w:r>
        <w:t>Where gay, lesbian, bisexual and transgender people do not hav</w:t>
      </w:r>
      <w:r>
        <w:t>e an advance health care directive in place and where they have diminished legal competence, a major concern is that biological family members may take over decision-making at the end of life (Auger 2003). At such times, health professionals may not unders</w:t>
      </w:r>
      <w:r>
        <w:t xml:space="preserve">tand or support the role of samesex partners and friends in end-of-life decision making (Hash 2006), especially where there is no legal recognition of same-sex marriage (Lannutti 2011). Additionally, as </w:t>
      </w:r>
      <w:r>
        <w:lastRenderedPageBreak/>
        <w:t>discussed, when relationships are not recognised, ber</w:t>
      </w:r>
      <w:r>
        <w:t>eaved partners and friends miss out on the social support necessary for coping with grief (Blevins and Werth 2006).</w:t>
      </w:r>
    </w:p>
    <w:p w:rsidR="00345F7B" w:rsidRDefault="00D7572D">
      <w:pPr>
        <w:ind w:left="-15" w:right="-12"/>
      </w:pPr>
      <w:r>
        <w:t>Having a legally-recognised advance care plan in place can no doubt protect the rights of many gay, lesbian, bisexual and transgender people</w:t>
      </w:r>
      <w:r>
        <w:t xml:space="preserve"> and their partners at the end of life. However, there remain key barriers to this. In a survey of 575 gay and lesbian people in the USA, Stein and Bonuck (2001) found that, despite high levels of knowledge about health care proxies (72%) and advance healt</w:t>
      </w:r>
      <w:r>
        <w:t xml:space="preserve">h care directives (90%), only about half of the participants had actually completed these documents. Reasons given included: not necessary now (28%), not knowing who to appoint (25%), hard to think about (20%), don’t know where/how to do it (18%) and have </w:t>
      </w:r>
      <w:r>
        <w:t>not found the time (18%). These reasons are comparable to other studies in the general population (Cartwright et al. 1998; Fagerlin and Schneider 2004; Steinberg et al. 1997). However, for gay, lesbian, bisexual and transgender people other factors may als</w:t>
      </w:r>
      <w:r>
        <w:t>o come into play. Auger (2003) reported that closeted and rural gay and lesbian couples in her Canadian study deliberately did not engage in advance care planning in order to maintain privacy.</w:t>
      </w:r>
    </w:p>
    <w:p w:rsidR="00345F7B" w:rsidRDefault="00D7572D">
      <w:pPr>
        <w:spacing w:after="417"/>
        <w:ind w:left="-15" w:right="-12"/>
      </w:pPr>
      <w:r>
        <w:t>Advance care planning can protect some rights at the end of lif</w:t>
      </w:r>
      <w:r>
        <w:t>e but, like the rest of the population, gay, lesbian, bisexual and transgender people need to use the legal mechanisms available and service providers need to promote their use (Auger 2003; Hash and Netting 2007; Stein and Bonuck 2001). While gay, lesbian,</w:t>
      </w:r>
      <w:r>
        <w:t xml:space="preserve"> bisexual and transgender people experience some end-of-life issues in similar ways to the general population, it is likely that they also experience some particular challenges in relation to end-of-life care and decision making. However, our knowledge of </w:t>
      </w:r>
      <w:r>
        <w:t>how gay, lesbian, bisexual and transgender people experience end-of-life care, especially in Australia, remains limited and requires further investigation. The study reported on in this paper was a precursor to a larger quantitative study into gay, lesbian</w:t>
      </w:r>
      <w:r>
        <w:t>, bisexual and transgender people’s understanding of their legal rights at the end of life.</w:t>
      </w:r>
    </w:p>
    <w:p w:rsidR="00345F7B" w:rsidRDefault="00D7572D">
      <w:pPr>
        <w:pStyle w:val="Heading1"/>
        <w:ind w:left="-5"/>
      </w:pPr>
      <w:r>
        <w:t>Methods</w:t>
      </w:r>
    </w:p>
    <w:p w:rsidR="00345F7B" w:rsidRDefault="00D7572D">
      <w:pPr>
        <w:ind w:left="-15" w:right="-12" w:firstLine="0"/>
      </w:pPr>
      <w:r>
        <w:t xml:space="preserve">This exploratory study, involving consultations with service providers and members of gay, lesbian, bisexual and transgender community organisations, aimed </w:t>
      </w:r>
      <w:r>
        <w:t>to identify the relevant issues for gay, lesbian, bisexual and transgender Australians in relation to end-oflife care and advance care planning. The study also sought to identify issues that require further exploration in a larger study on this topic invol</w:t>
      </w:r>
      <w:r>
        <w:t>ving gay, lesbian, bisexual and transgender people. Specifically, the research questions were: ‘What have been your experiences providing end-of-life care for gay, lesbian, bisexual and transgender people?’ and ‘From your perspective, what understanding di</w:t>
      </w:r>
      <w:r>
        <w:t>d these people have of their rights at the end of life?’</w:t>
      </w:r>
    </w:p>
    <w:p w:rsidR="00345F7B" w:rsidRDefault="00D7572D">
      <w:pPr>
        <w:ind w:left="-15" w:right="-12"/>
      </w:pPr>
      <w:r>
        <w:t>A semi-structured questionnaire was developed to guide the service provider consultations. The study was formally approved by the Human Research Ethics Committee of the authors’ University and by the</w:t>
      </w:r>
      <w:r>
        <w:t xml:space="preserve"> Research Ethics Review Committee of ACON, the collaborating gay, lesbian, bisexual and transgender health promotion organisation. The consultations were advertised widely in the gay, lesbian, bisexual and transgender and mainstream media, via a range of h</w:t>
      </w:r>
      <w:r>
        <w:t>ealth and community service email lists and newsletters and by word of mouth.</w:t>
      </w:r>
    </w:p>
    <w:p w:rsidR="00345F7B" w:rsidRDefault="00D7572D">
      <w:pPr>
        <w:ind w:left="-15" w:right="-12"/>
      </w:pPr>
      <w:r>
        <w:t>A service provider consultation forum was held in a large regional city in northern New South Wales (NSW) and telephone consultations took place with metropolitan service provide</w:t>
      </w:r>
      <w:r>
        <w:t xml:space="preserve">rs. The consultation forum enabled people who have provided care to gay, lesbian, bisexual and transgender people to come together to share experiences and reflect on the issues facing gay, lesbian, bisexual and transgender people in receiving end-of-life </w:t>
      </w:r>
      <w:r>
        <w:t xml:space="preserve">care. The format for the consultation forum included: a review of the information sheet for the </w:t>
      </w:r>
      <w:r>
        <w:lastRenderedPageBreak/>
        <w:t xml:space="preserve">research and consent and confidentiality forms, and gathering of signed forms; a brief survey of participant knowledge about the topic (adapted from Cartwright </w:t>
      </w:r>
      <w:r>
        <w:t>et al. 2006); a presentation about Advance Care Planning and other end-of-life issues; a scan of participant experiences in gay, lesbian, bisexual and transgender end-of-life care using a list of questions; and invitations to tell particular stories. The t</w:t>
      </w:r>
      <w:r>
        <w:t>elephone consultations also included the survey of participant knowledge, a presentation on Advance Care Planning and discussion of experiences in gay, lesbian, bisexual and transgender end-oflife care. All participants received fact sheets and templates f</w:t>
      </w:r>
      <w:r>
        <w:t>or completing Advance Care Directives, including information on appointing proxy decision makers.</w:t>
      </w:r>
    </w:p>
    <w:p w:rsidR="00345F7B" w:rsidRDefault="00D7572D">
      <w:pPr>
        <w:ind w:left="-15" w:right="-12"/>
      </w:pPr>
      <w:r>
        <w:t>A total of 25 people participated in this research: 19 service providers and 6 members of gay, lesbian, bisexual and transgender community organisations. In a</w:t>
      </w:r>
      <w:r>
        <w:t>ll, 17 women and 8 men were involved. There were no transgender participants, although 2 of the service providers spoke about their work with transgender clients. No further demographic details were collected from the respondents. Of the 19 service provide</w:t>
      </w:r>
      <w:r>
        <w:t xml:space="preserve">rs, 12 who were regionally based attended the service provider forum. Notification of the forum occurred via newspaper advertisements, flyers and mailing lists of end-of-life care providers. Participants represented almost all the service providers in the </w:t>
      </w:r>
      <w:r>
        <w:t>area who had contact with gay,lesbian,bisexualandtransgenderpeopleinrelationtoend-of-lifecare,aswellasothers with a general interest in this issue. Seven metropolitan-based service providers also gave their views via the telephone. Service providers worked</w:t>
      </w:r>
      <w:r>
        <w:t xml:space="preserve"> across a range of fields including nursing, home and community care, residential aged care, palliative care, allied health, social work, voluntary community care and the funeral industry. Three had experiences of multiple episodes of end-of-life care dati</w:t>
      </w:r>
      <w:r>
        <w:t>ng back to the early days of the HIV epidemic. It was originally hoped that a public consultation meeting, similar to the service provider consultation, could be held, however this did not attract participants. Instead six individual interviews with gay, l</w:t>
      </w:r>
      <w:r>
        <w:t>esbian, bisexual and transgender community members were conducted. While not direct service providers, these people were linked to gay, lesbian, bisexual and transgender community organisations. The results of these interviews have been incorporated into t</w:t>
      </w:r>
      <w:r>
        <w:t>he findings.</w:t>
      </w:r>
    </w:p>
    <w:p w:rsidR="00345F7B" w:rsidRDefault="00D7572D">
      <w:pPr>
        <w:spacing w:after="417"/>
        <w:ind w:left="-15" w:right="-12"/>
      </w:pPr>
      <w:r>
        <w:t>Data were collected from the service provider consultation forum, individual interviews with metropolitan providers and the gay, lesbian, bisexual and transgender community member interviews by audio recording and taking field notes. Transcrip</w:t>
      </w:r>
      <w:r>
        <w:t>ts were given back to participants for verification and additional comments. A thematic analysis of the data from the transcripts and field notes was conducted (Grbich 2007). This involved, following the grounded theory tradition, open coding where broad t</w:t>
      </w:r>
      <w:r>
        <w:t>hemes and categories were generated from the data, as well as axial coding by which the major themes were identified (Ezzy 2002).</w:t>
      </w:r>
    </w:p>
    <w:p w:rsidR="00345F7B" w:rsidRDefault="00D7572D">
      <w:pPr>
        <w:pStyle w:val="Heading1"/>
        <w:ind w:left="-5"/>
      </w:pPr>
      <w:r>
        <w:t>Findings</w:t>
      </w:r>
    </w:p>
    <w:p w:rsidR="00345F7B" w:rsidRDefault="00D7572D">
      <w:pPr>
        <w:spacing w:after="416"/>
        <w:ind w:left="-15" w:right="-12" w:firstLine="0"/>
      </w:pPr>
      <w:r>
        <w:t xml:space="preserve">A range of themes emerged from the analysis of the transcripts of the service provider consultation forum interviews </w:t>
      </w:r>
      <w:r>
        <w:t>and the interviews with community members. These related to: a lack of recognition faced by gay, lesbian, bisexual and transgender people in receiving care and support towards the end of life; the participants’ lack of understanding of legal provisions aro</w:t>
      </w:r>
      <w:r>
        <w:t>und end-of-life care; the barriers to gay, lesbian, bisexual and transgender being involved in advance care planning; and the value of gay, lesbian, bisexual and transgender people communicating their wishes to key people. While the first of these themes c</w:t>
      </w:r>
      <w:r>
        <w:t>learly reflects the particular experiences of gay, lesbian, bisexual and transgender people, the other themes may be reflective of the concerns relating to the wider population. Nonetheless, the qualitative data illustrate the ways in which these issues we</w:t>
      </w:r>
      <w:r>
        <w:t xml:space="preserve">re uniquely </w:t>
      </w:r>
      <w:r>
        <w:lastRenderedPageBreak/>
        <w:t>experienced by gay, lesbian, bisexual and transgender people, as reported on in the consultation forum and by gay, lesbian, bisexual and transgender community members.</w:t>
      </w:r>
    </w:p>
    <w:p w:rsidR="00345F7B" w:rsidRDefault="00D7572D">
      <w:pPr>
        <w:spacing w:after="54" w:line="254" w:lineRule="auto"/>
        <w:ind w:left="-5" w:right="0" w:hanging="10"/>
        <w:jc w:val="left"/>
      </w:pPr>
      <w:r>
        <w:t>Lack of recognition of sexual or gender identity</w:t>
      </w:r>
    </w:p>
    <w:p w:rsidR="00345F7B" w:rsidRDefault="00D7572D">
      <w:pPr>
        <w:spacing w:after="76"/>
        <w:ind w:left="-15" w:right="-12" w:firstLine="0"/>
      </w:pPr>
      <w:r>
        <w:t>A major theme from the service provider consultations was the lack of legitimacy of samesex relationships and sexual and gender identity accorded by family, health professionals and society. For gay and lesb</w:t>
      </w:r>
      <w:r>
        <w:t>ian patients, failure by family members and health professionals to acknowledge the appropriate decision-maker at the end of life caused additional grief, loss of dignity and loss of property upon the death of same-sex partners. Barry, a 52-year-old counse</w:t>
      </w:r>
      <w:r>
        <w:t>llor, reported that:</w:t>
      </w:r>
    </w:p>
    <w:p w:rsidR="00345F7B" w:rsidRDefault="00D7572D">
      <w:pPr>
        <w:spacing w:after="100" w:line="256" w:lineRule="auto"/>
        <w:ind w:left="239" w:right="241" w:firstLine="0"/>
      </w:pPr>
      <w:r>
        <w:rPr>
          <w:sz w:val="18"/>
        </w:rPr>
        <w:t>One guy who was diagnosed went downhill very quickly. His parents came the day before he died. They wanted to take his body back to the country town where they were from. They didn’t want his partner or friends involved. We had a ‘devi</w:t>
      </w:r>
      <w:r>
        <w:rPr>
          <w:sz w:val="18"/>
        </w:rPr>
        <w:t>ants’ funeral separate to the family funeral – that was the compromise. The kid thought mum and dad would be okay but they weren’t. Absolutely everything was taken from the partner.</w:t>
      </w:r>
    </w:p>
    <w:p w:rsidR="00345F7B" w:rsidRDefault="00D7572D">
      <w:pPr>
        <w:ind w:left="-15" w:right="-12" w:firstLine="0"/>
      </w:pPr>
      <w:r>
        <w:t>For transgender people, the lack of recognition of their chosen gender ide</w:t>
      </w:r>
      <w:r>
        <w:t>ntity, or the humiliation of having to explain that they are transgender, were salient issues. Jenny, a 45-year-old nurse, told of a transgender woman who had lived all her life as a woman, but had never had sex reassignment surgery. She now had dementia a</w:t>
      </w:r>
      <w:r>
        <w:t xml:space="preserve">nd lived in an aged care facility run by a religious charity. Staff there forced her to live as a man. Other transgender people who have not had sex reassignment surgery, or who are left with incontinence after the surgery, have to explain their situation </w:t>
      </w:r>
      <w:r>
        <w:t>to care providers in order to get appropriate products. David, a 56-year-old social worker, reflected on the very high levels of education, advocacy, training and personal support needed to ensure transgender clients received appropriate services, even fro</w:t>
      </w:r>
      <w:r>
        <w:t>m trans-friendly agencies.</w:t>
      </w:r>
    </w:p>
    <w:p w:rsidR="00345F7B" w:rsidRDefault="00D7572D">
      <w:pPr>
        <w:spacing w:after="416"/>
        <w:ind w:left="-15" w:right="-12"/>
      </w:pPr>
      <w:r>
        <w:t>Discrimination or anticipated discrimination was also reported as preventing access to health care. Service providers observed that, in a small town, clients who could access services locally chose not to in order to protect thei</w:t>
      </w:r>
      <w:r>
        <w:t>r privacy and identity. Some travelled to other areas but others just missed out. Further, community participants spoke about how some gay, lesbian, bisexual and transgender people chose to live on the margins of society, for example in self-sufficient rur</w:t>
      </w:r>
      <w:r>
        <w:t>al communities, to avoid the confrontation of discrimination in the mainstream heterosexual and heterosexist world. Participantsbelievedbothdecisionsresulted infailurestoaccess advance care planningand quality end-of-life care when it was needed.</w:t>
      </w:r>
    </w:p>
    <w:p w:rsidR="00345F7B" w:rsidRDefault="00D7572D">
      <w:pPr>
        <w:spacing w:after="54" w:line="254" w:lineRule="auto"/>
        <w:ind w:left="-5" w:right="0" w:hanging="10"/>
        <w:jc w:val="left"/>
      </w:pPr>
      <w:r>
        <w:t>Lack of k</w:t>
      </w:r>
      <w:r>
        <w:t>nowledge of legal rights relating to end-of-life care</w:t>
      </w:r>
    </w:p>
    <w:p w:rsidR="00345F7B" w:rsidRDefault="00D7572D">
      <w:pPr>
        <w:ind w:left="-15" w:right="-12" w:firstLine="0"/>
      </w:pPr>
      <w:r>
        <w:t>Medical and dental practitioners have a legal and professional responsibility to obtain consent before treating a patient. In Australia, if the patient is unable to consent, the practitioner should seek</w:t>
      </w:r>
      <w:r>
        <w:t xml:space="preserve"> consent from the person legally authorised under the specific state/territory legislation to give that consent (e.g. in NSW, the designated person is called Person Responsible). This is not necessarily the patient’s next-of-kin, and the order of authority</w:t>
      </w:r>
      <w:r>
        <w:t xml:space="preserve"> differs from state to state. In NSW, the order is: a guardian appointed by the Guardianship Tribunal; an Enduring Guardian appointed by the person themselves; a spouse or partner, including a same-sex or de facto partner with whom the patient has a close </w:t>
      </w:r>
      <w:r>
        <w:t>and continuing relationship; an unpaid carer; or a relative or friend who has a close personal relationship with the patient.</w:t>
      </w:r>
    </w:p>
    <w:p w:rsidR="00345F7B" w:rsidRDefault="00D7572D">
      <w:pPr>
        <w:spacing w:after="416"/>
        <w:ind w:left="-15" w:right="-12"/>
      </w:pPr>
      <w:r>
        <w:t>At the service provider consultation, several participants did not know about the rights of same-sex partners to claim status as P</w:t>
      </w:r>
      <w:r>
        <w:t xml:space="preserve">erson Responsible, and therefore to make health care decisions should their partner lack capacity. Service providers also identified that </w:t>
      </w:r>
      <w:r>
        <w:lastRenderedPageBreak/>
        <w:t>levels of awareness and use of the legal mechanisms that assist in advance care planning varied considerably among the</w:t>
      </w:r>
      <w:r>
        <w:t>ir clients. When service providers encouraged the use of legal mechanisms, they reported that awareness and use improved.</w:t>
      </w:r>
    </w:p>
    <w:p w:rsidR="00345F7B" w:rsidRDefault="00D7572D">
      <w:pPr>
        <w:spacing w:after="54" w:line="254" w:lineRule="auto"/>
        <w:ind w:left="-5" w:right="0" w:hanging="10"/>
        <w:jc w:val="left"/>
      </w:pPr>
      <w:r>
        <w:t>Barriers to advance care planning</w:t>
      </w:r>
    </w:p>
    <w:p w:rsidR="00345F7B" w:rsidRDefault="00D7572D">
      <w:pPr>
        <w:spacing w:after="77"/>
        <w:ind w:left="-15" w:right="-12" w:firstLine="0"/>
      </w:pPr>
      <w:r>
        <w:t>Participants identified some likely barriers to advance care planningby gay, lesbian, bisexual and t</w:t>
      </w:r>
      <w:r>
        <w:t>ransgender people. Most commented that lack of knowledge about advance care planning prevented gay, lesbian, bisexual and transgender people for accessing this resource. Several participants identified key barriers as not having enough time to do the paper</w:t>
      </w:r>
      <w:r>
        <w:t>work or people feeling that they did not need to do it now as they were currently in good health. A commonly reported barrier was not wanting to think about or plan for the end of life. For some, this resulted from a fear or denial of death arising as a le</w:t>
      </w:r>
      <w:r>
        <w:t>gacy of the HIV epidemic. Mike, a 60-year-old gay, lesbian, bisexual and transgender community member said:</w:t>
      </w:r>
    </w:p>
    <w:p w:rsidR="00345F7B" w:rsidRDefault="00D7572D">
      <w:pPr>
        <w:spacing w:after="101" w:line="256" w:lineRule="auto"/>
        <w:ind w:left="239" w:firstLine="0"/>
      </w:pPr>
      <w:r>
        <w:rPr>
          <w:sz w:val="18"/>
        </w:rPr>
        <w:t>Back in the height of the epidemic, not a day went by when someone didn’t die or you heard of someone close to death.</w:t>
      </w:r>
    </w:p>
    <w:p w:rsidR="00345F7B" w:rsidRDefault="00D7572D">
      <w:pPr>
        <w:spacing w:after="76"/>
        <w:ind w:left="-15" w:right="-12" w:firstLine="0"/>
      </w:pPr>
      <w:r>
        <w:t>For others, this was reinforce</w:t>
      </w:r>
      <w:r>
        <w:t>d by the perceived emphasis placed on youth and beauty in the gay male community. Adrian, a 51-year-old gay, lesbian, bisexual and transgender community member commented:</w:t>
      </w:r>
    </w:p>
    <w:p w:rsidR="00345F7B" w:rsidRDefault="00D7572D">
      <w:pPr>
        <w:spacing w:after="100" w:line="256" w:lineRule="auto"/>
        <w:ind w:left="239" w:right="241" w:firstLine="0"/>
      </w:pPr>
      <w:r>
        <w:rPr>
          <w:sz w:val="18"/>
        </w:rPr>
        <w:t>This denial of death marries into what I call ‘the Peter Pan syndrome’ among gay men.</w:t>
      </w:r>
      <w:r>
        <w:rPr>
          <w:sz w:val="18"/>
        </w:rPr>
        <w:t xml:space="preserve"> We might age, and we don’t want to think about this, instead of being practical and planning for it. People are scared of death: ‘it’s not going to happen to me’.</w:t>
      </w:r>
    </w:p>
    <w:p w:rsidR="00345F7B" w:rsidRDefault="00D7572D">
      <w:pPr>
        <w:spacing w:after="77"/>
        <w:ind w:left="-15" w:right="-12" w:firstLine="0"/>
      </w:pPr>
      <w:r>
        <w:t>Someparticipantsbelieved oldergay, lesbian, bisexual andtransgenderpeople,particularly older</w:t>
      </w:r>
      <w:r>
        <w:t xml:space="preserve"> gay men, can become socially isolated and alienated from the gay, lesbian, bisexual and transgender community. Participants reported knowing of some older gay men who lacked strong connections and relationships to the extent that they did not know who to </w:t>
      </w:r>
      <w:r>
        <w:t>appoint to crucial decision-making roles. This was also a critical issue for some participants reflecting on the nature of their own relationships and networks. According to Mike:</w:t>
      </w:r>
    </w:p>
    <w:p w:rsidR="00345F7B" w:rsidRDefault="00D7572D">
      <w:pPr>
        <w:spacing w:after="100" w:line="256" w:lineRule="auto"/>
        <w:ind w:left="239" w:right="241" w:firstLine="0"/>
      </w:pPr>
      <w:r>
        <w:rPr>
          <w:sz w:val="18"/>
        </w:rPr>
        <w:t>I can’t think of who to appoint or what my advance health care directive dec</w:t>
      </w:r>
      <w:r>
        <w:rPr>
          <w:sz w:val="18"/>
        </w:rPr>
        <w:t>isions might be. I don’t know how to figure this out. It is very personally confronting. Is it a new partner, or an old friend or family member? How do I tell the new partner if it’s not him? What impact will this have on our relationship?</w:t>
      </w:r>
    </w:p>
    <w:p w:rsidR="00345F7B" w:rsidRDefault="00D7572D">
      <w:pPr>
        <w:spacing w:after="416"/>
        <w:ind w:left="-15" w:right="-12" w:firstLine="0"/>
      </w:pPr>
      <w:r>
        <w:t>HIV service providers also commented on the social isolation they had observed among some HIV-positive gay men in the study area. Some clients, they noted, had no-one to look after them when they were ill or facing discharge from hospital.</w:t>
      </w:r>
    </w:p>
    <w:p w:rsidR="00345F7B" w:rsidRDefault="00D7572D">
      <w:pPr>
        <w:spacing w:after="54" w:line="254" w:lineRule="auto"/>
        <w:ind w:left="-5" w:right="0" w:hanging="10"/>
        <w:jc w:val="left"/>
      </w:pPr>
      <w:r>
        <w:t>Communication an</w:t>
      </w:r>
      <w:r>
        <w:t>d advocacy can improve end-of-life care</w:t>
      </w:r>
    </w:p>
    <w:p w:rsidR="00345F7B" w:rsidRDefault="00D7572D">
      <w:pPr>
        <w:ind w:left="-15" w:right="-12" w:firstLine="0"/>
      </w:pPr>
      <w:r>
        <w:t>Participants stressed the importance of gay, lesbian, bisexual and transgender people communicating their end-of-life care wishes to partners, family and health professionals before they become incapacitated. If they</w:t>
      </w:r>
      <w:r>
        <w:t xml:space="preserve"> did not, they risked their wishes and those of their close friends and partners being overridden by biological family members and health care workers. Further, they described the important role of advocates in ensuring that the wishes of the dying person </w:t>
      </w:r>
      <w:r>
        <w:t>were met. An advocate could be a family member who is close to the dying person and also to the rest of the family, a friend, a service provider or a volunteer carer. These people can act as buffers between the dying person, their close friends and partner</w:t>
      </w:r>
      <w:r>
        <w:t>s and other people who may have an interest in the dying person. Service providers noted the importance of health professionals acting cooperatively as advocates for and supporters of gay, lesbian, bisexual and transgender people who may be isolated and di</w:t>
      </w:r>
      <w:r>
        <w:t>e alone.</w:t>
      </w:r>
    </w:p>
    <w:p w:rsidR="00345F7B" w:rsidRDefault="00D7572D">
      <w:pPr>
        <w:spacing w:after="100"/>
        <w:ind w:left="-15" w:right="-12"/>
      </w:pPr>
      <w:r>
        <w:t>When same-sex and other important relationships are communicated to and recognised by families and health professionals, and when advance care planning is well organised and communicated to significant people, it is possible for gay, lesbian, bise</w:t>
      </w:r>
      <w:r>
        <w:t>xual and transgender people to experience appropriate end-of-life care and to die with dignity. For Hannah, a 43-year-old community care worker:</w:t>
      </w:r>
    </w:p>
    <w:p w:rsidR="00345F7B" w:rsidRDefault="00D7572D">
      <w:pPr>
        <w:spacing w:after="441" w:line="256" w:lineRule="auto"/>
        <w:ind w:left="239" w:right="242" w:firstLine="0"/>
      </w:pPr>
      <w:r>
        <w:rPr>
          <w:sz w:val="18"/>
        </w:rPr>
        <w:t xml:space="preserve">If you have the paperwork done, it alleviates the chaos, and makes the roles really clear </w:t>
      </w:r>
      <w:r>
        <w:rPr>
          <w:sz w:val="18"/>
        </w:rPr>
        <w:t xml:space="preserve">... </w:t>
      </w:r>
      <w:r>
        <w:rPr>
          <w:sz w:val="18"/>
        </w:rPr>
        <w:t>the partner could</w:t>
      </w:r>
      <w:r>
        <w:rPr>
          <w:sz w:val="18"/>
        </w:rPr>
        <w:t xml:space="preserve"> just get on with giving care. Then everything around the death went smoothly as there were defined roles and responsibilities.</w:t>
      </w:r>
    </w:p>
    <w:p w:rsidR="00345F7B" w:rsidRDefault="00D7572D">
      <w:pPr>
        <w:pStyle w:val="Heading1"/>
        <w:ind w:left="-5"/>
      </w:pPr>
      <w:r>
        <w:t>Discussion</w:t>
      </w:r>
    </w:p>
    <w:p w:rsidR="00345F7B" w:rsidRDefault="00D7572D">
      <w:pPr>
        <w:ind w:left="-15" w:right="-12" w:firstLine="0"/>
      </w:pPr>
      <w:r>
        <w:t>This exploratory qualitative study highlighted issues of concern regarding end-of-life care for gay, lesbian, bisexua</w:t>
      </w:r>
      <w:r>
        <w:t xml:space="preserve">l and transgender people. It is important to acknowledge that this was a small-scale study and that the results are not generalisable to the wider population of gay, lesbian, bisexual and transgender service providers. As noted below, though, the findings </w:t>
      </w:r>
      <w:r>
        <w:t xml:space="preserve">generally accord with those from the emerging international literature on end-of-life care and advance care planning in the gay, lesbian, bisexual and transgender community. Crucially, the findings of this project have directly informed the development of </w:t>
      </w:r>
      <w:r>
        <w:t>a larger national study involving gay, lesbian, bisexual and transgender consumers.</w:t>
      </w:r>
    </w:p>
    <w:p w:rsidR="00345F7B" w:rsidRDefault="00D7572D">
      <w:pPr>
        <w:ind w:left="-15" w:right="-12"/>
      </w:pPr>
      <w:r>
        <w:t xml:space="preserve">As is increasingly reported in the literature on gay, lesbian, bisexual and transgender ageing (Harrison 2006), participants emphasised the failure of health and aged care </w:t>
      </w:r>
      <w:r>
        <w:t xml:space="preserve">providers to properly acknowledge the diverse sexual and gender identities of gay, lesbian, bisexual and transgender people. This may result in discrimination and/or inappropriate care and, significantly, impact on people’s preparedness to access services </w:t>
      </w:r>
      <w:r>
        <w:t>in the future. And as in previous research involving gay, lesbian, bisexual and transgender people in regional and rural settings (Auger 2003; Hughes 2007), in this study it was reported that some gay, lesbian, bisexual and transgender people living in sma</w:t>
      </w:r>
      <w:r>
        <w:t xml:space="preserve">ll communities choose not to access available services because of a desire to preserve privacy and/or a preference to be cared for by friends and community members, rather than local health professionals. For gay, lesbian, bisexual and transgender people, </w:t>
      </w:r>
      <w:r>
        <w:t>who are at heightened risk of some lifethreatening illnesses, failure to access services in a timely manner can exacerbate health conditions and contribute to problems experienced in end-of-life care.</w:t>
      </w:r>
    </w:p>
    <w:p w:rsidR="00345F7B" w:rsidRDefault="00D7572D">
      <w:pPr>
        <w:ind w:left="-15" w:right="-12"/>
      </w:pPr>
      <w:r>
        <w:t>In line with the international literature (Cartwright e</w:t>
      </w:r>
      <w:r>
        <w:t xml:space="preserve">t al. 1998; Stein and Bonuck 2001; Steinberg et al. 1997), barriers to advance care planning identified by participants in this study included not having enough time, not feeling the need to do it now, lack of knowledge of advance care planning procedures </w:t>
      </w:r>
      <w:r>
        <w:t>and not wanting to plan for death. The latter issue was reported in this project to be particularly significant for some gay men where the community and commercial focus on youthfulness may stigmatise ageing and preparation for death.</w:t>
      </w:r>
    </w:p>
    <w:p w:rsidR="00345F7B" w:rsidRDefault="00D7572D">
      <w:pPr>
        <w:ind w:left="-15" w:right="-12"/>
      </w:pPr>
      <w:r>
        <w:t>Social isolation, esp</w:t>
      </w:r>
      <w:r>
        <w:t>ecially among older gay men, was also identified to be a concern. It was reported that this meant that some did not have appropriate people to appoint as substitute decision makers. The extent of older gay men’s social connections has been widely debated i</w:t>
      </w:r>
      <w:r>
        <w:t xml:space="preserve">n the gay, lesbian, bisexual and transgender ageing literature (Hughes 2009; Shippy, Cantor, and Brennan 2004) and there remain mixed findings from research as to the extent to which older gay men may be isolated. Previous researchers have identified that </w:t>
      </w:r>
      <w:r>
        <w:t>even though they may be more likely to live alone than heterosexual men and lesbians, some older gay men are intimately involved in self-made communities and support networks (Heaphy 2007). Arguably, for an increasing number of gay men, ‘personal communiti</w:t>
      </w:r>
      <w:r>
        <w:t>es’ are taking on more significance than the wider gay community (Holt 2011). Nonetheless, concerns about becoming isolated in later life continue to be expressed by gay men, even if these views may be coloured by stereotypical images of gay seniors (Hughe</w:t>
      </w:r>
      <w:r>
        <w:t>s 2010). Clearly, as Almack, Seymour and Bellamy (2010) acknowledge, there is a need for further research into isolation, sexual identity and endof-life care.</w:t>
      </w:r>
    </w:p>
    <w:p w:rsidR="00345F7B" w:rsidRDefault="00D7572D">
      <w:pPr>
        <w:ind w:left="-15" w:right="-12"/>
      </w:pPr>
      <w:r>
        <w:t xml:space="preserve">The findings of this study, like those in international research (Auger 2003; Hash and Netting 2007; Smolinski and Colo´n 2006; Stein and Bonuck 2001), highlight the need for gay, lesbian, bisexual and transgender people to engage in advance care planning </w:t>
      </w:r>
      <w:r>
        <w:t>because of the discrimination they may face in health care settings and the lack of understanding of the complexity and significance of gay, lesbian, bisexual and transgender people’s families of choice. When advance care planning takes place, it can mitig</w:t>
      </w:r>
      <w:r>
        <w:t>ate discrimination. The service providers involved in the study evidenced the lack of understanding Australian health professionals have of the laws pertaining to substitute decision-making, including the legal rights of same-sex couples. This means that g</w:t>
      </w:r>
      <w:r>
        <w:t>ay, lesbian, bisexual and transgender people who do not know their rights in end-of-life care may be denied them. While changes in laws, community attitudes and service provider knowledge are longterm goals, the legal mechanisms to assist people with end-o</w:t>
      </w:r>
      <w:r>
        <w:t>f-life care planning in Australia are available now.</w:t>
      </w:r>
    </w:p>
    <w:p w:rsidR="00345F7B" w:rsidRDefault="00D7572D">
      <w:pPr>
        <w:ind w:left="-15" w:right="-12"/>
      </w:pPr>
      <w:r>
        <w:t>The need for education on advance care planning with the gay, lesbian, bisexual and transgender community and relevant health and aged care service providers is clear. Relevant federal and state governme</w:t>
      </w:r>
      <w:r>
        <w:t>nt departments, private hospitals and health care agencies need to provide education to health professionals about the current Australian laws on substitute decision-making. Information is particularly needed on the rights of same-sex partners to claim sta</w:t>
      </w:r>
      <w:r>
        <w:t>tus as Person Responsible. Crucially, gay, lesbian, bisexual and transgender people need to be encouraged to engage in advance care planning, informed about their rights in end-of-life care and empowered to access resources available.</w:t>
      </w:r>
    </w:p>
    <w:p w:rsidR="00345F7B" w:rsidRDefault="00D7572D">
      <w:pPr>
        <w:ind w:left="-15" w:right="-12"/>
      </w:pPr>
      <w:r>
        <w:t>It is acknowledged th</w:t>
      </w:r>
      <w:r>
        <w:t>at there were some key limitations to this research in that it was small-scale and drew upon different groups of people reporting on gay, lesbian, bisexual and transgender people’s experiences – service providers in both regional and metropolitan areas and</w:t>
      </w:r>
      <w:r>
        <w:t xml:space="preserve"> members of gay, lesbian, bisexual and transgender community organisations. There were also two different methods of collecting the data – the consultation forum and individual interviews. Nonetheless, the research does provide an initial exploration of so</w:t>
      </w:r>
      <w:r>
        <w:t>me of the critical issues impacting on gay, lesbian, bisexual and transgender people in receiving end-of-life care and, in particular, in relation to Advance Care Planning. The research also provided a basis for the development of a larger survey of gay, l</w:t>
      </w:r>
      <w:r>
        <w:t>esbian, bisexual and transgender people’s direct experiences with end-of-life care.</w:t>
      </w:r>
    </w:p>
    <w:p w:rsidR="00345F7B" w:rsidRDefault="00D7572D">
      <w:pPr>
        <w:pStyle w:val="Heading1"/>
        <w:ind w:left="-5"/>
      </w:pPr>
      <w:r>
        <w:t>Conclusion</w:t>
      </w:r>
    </w:p>
    <w:p w:rsidR="00345F7B" w:rsidRDefault="00D7572D">
      <w:pPr>
        <w:spacing w:after="432"/>
        <w:ind w:left="-15" w:right="-12" w:firstLine="0"/>
      </w:pPr>
      <w:r>
        <w:t>At the end of their lives, gay, lesbian, bisexual and transgender Australians face the possibility of discrimination and inappropriate care. Advance care plannin</w:t>
      </w:r>
      <w:r>
        <w:t>g can help mitigate discrimination, particularly in ensuring that same-sex partners and other members of families of choice are involved in end-of-life care and decision making. As in the wider population, however, significant barriers to advance care plan</w:t>
      </w:r>
      <w:r>
        <w:t>ning exist. How gay, lesbian, bisexual and transgender people experience these barriers may reflect their unique experiences and community history, as well as the additional pressure of dealing with services that fail to properly acknowledge gender and sex</w:t>
      </w:r>
      <w:r>
        <w:t>ual diversity.</w:t>
      </w:r>
    </w:p>
    <w:p w:rsidR="00345F7B" w:rsidRDefault="00D7572D">
      <w:pPr>
        <w:pStyle w:val="Heading1"/>
        <w:spacing w:after="10"/>
        <w:ind w:left="-5"/>
      </w:pPr>
      <w:r>
        <w:t>Note</w:t>
      </w:r>
    </w:p>
    <w:p w:rsidR="00345F7B" w:rsidRDefault="00D7572D">
      <w:pPr>
        <w:spacing w:after="525" w:line="256" w:lineRule="auto"/>
        <w:ind w:left="209" w:hanging="224"/>
      </w:pPr>
      <w:r>
        <w:rPr>
          <w:sz w:val="18"/>
        </w:rPr>
        <w:t>1. Tania Lienert was tragically killed in a car accident shortly after this study was completed. She contributed significantly to this paper.</w:t>
      </w:r>
    </w:p>
    <w:p w:rsidR="00345F7B" w:rsidRDefault="00D7572D">
      <w:pPr>
        <w:pStyle w:val="Heading1"/>
        <w:spacing w:after="8"/>
        <w:ind w:left="-5"/>
      </w:pPr>
      <w:r>
        <w:t>References</w:t>
      </w:r>
    </w:p>
    <w:p w:rsidR="00345F7B" w:rsidRDefault="00D7572D">
      <w:pPr>
        <w:spacing w:after="5" w:line="256" w:lineRule="auto"/>
        <w:ind w:left="291" w:hanging="306"/>
      </w:pPr>
      <w:r>
        <w:rPr>
          <w:sz w:val="18"/>
        </w:rPr>
        <w:t>Almack, K., J. Seymour, and G. Bellamy. 2010. Exploring the impact of sexual orientation on experiences</w:t>
      </w:r>
      <w:r>
        <w:rPr>
          <w:sz w:val="18"/>
        </w:rPr>
        <w:t xml:space="preserve"> and concerns about end of life care and on bereavement for lesbian, gay and bisexual older people. </w:t>
      </w:r>
      <w:r>
        <w:rPr>
          <w:sz w:val="18"/>
        </w:rPr>
        <w:t xml:space="preserve">Sociology </w:t>
      </w:r>
      <w:r>
        <w:rPr>
          <w:sz w:val="18"/>
        </w:rPr>
        <w:t>44: 908–24.</w:t>
      </w:r>
    </w:p>
    <w:p w:rsidR="00345F7B" w:rsidRDefault="00D7572D">
      <w:pPr>
        <w:spacing w:after="11" w:line="248" w:lineRule="auto"/>
        <w:ind w:left="281" w:right="0" w:hanging="296"/>
        <w:jc w:val="left"/>
      </w:pPr>
      <w:r>
        <w:rPr>
          <w:sz w:val="18"/>
        </w:rPr>
        <w:t xml:space="preserve">Auger, J.A. 2003. </w:t>
      </w:r>
      <w:r>
        <w:rPr>
          <w:sz w:val="18"/>
        </w:rPr>
        <w:t>Passing through: The end-of-life decisions of lesbians and gay men</w:t>
      </w:r>
      <w:r>
        <w:rPr>
          <w:sz w:val="18"/>
        </w:rPr>
        <w:t>. Halifax, Nova Scotia: Fernwood.</w:t>
      </w:r>
    </w:p>
    <w:p w:rsidR="00345F7B" w:rsidRDefault="00D7572D">
      <w:pPr>
        <w:spacing w:after="5" w:line="256" w:lineRule="auto"/>
        <w:ind w:left="291" w:hanging="306"/>
      </w:pPr>
      <w:r>
        <w:rPr>
          <w:sz w:val="18"/>
        </w:rPr>
        <w:t>Blevins, D., and</w:t>
      </w:r>
      <w:r>
        <w:rPr>
          <w:sz w:val="18"/>
        </w:rPr>
        <w:t xml:space="preserve"> J.L.J. Werth. 2006. End-of-life issues for LGBT older adults. In </w:t>
      </w:r>
      <w:r>
        <w:rPr>
          <w:sz w:val="18"/>
        </w:rPr>
        <w:t>Lesbian, gay, bisexual and transgender aging: Research and clinical perspectives</w:t>
      </w:r>
      <w:r>
        <w:rPr>
          <w:sz w:val="18"/>
        </w:rPr>
        <w:t>, ed. D. Kimmel, T. Rose, and D. Steven, 206–26. New York: Columbia University Press.</w:t>
      </w:r>
    </w:p>
    <w:p w:rsidR="00345F7B" w:rsidRDefault="00D7572D">
      <w:pPr>
        <w:spacing w:after="5" w:line="256" w:lineRule="auto"/>
        <w:ind w:left="291" w:hanging="306"/>
      </w:pPr>
      <w:r>
        <w:rPr>
          <w:sz w:val="18"/>
        </w:rPr>
        <w:t>Bloomer, M., H. Tan, and</w:t>
      </w:r>
      <w:r>
        <w:rPr>
          <w:sz w:val="18"/>
        </w:rPr>
        <w:t xml:space="preserve"> S. Lee. 2010. End-of-life care: The importance of advance care planning. </w:t>
      </w:r>
      <w:r>
        <w:rPr>
          <w:sz w:val="18"/>
        </w:rPr>
        <w:t xml:space="preserve">Australian Family Physician </w:t>
      </w:r>
      <w:r>
        <w:rPr>
          <w:sz w:val="18"/>
        </w:rPr>
        <w:t>39: 734–7.</w:t>
      </w:r>
    </w:p>
    <w:p w:rsidR="00345F7B" w:rsidRDefault="00D7572D">
      <w:pPr>
        <w:spacing w:after="5" w:line="256" w:lineRule="auto"/>
        <w:ind w:left="291" w:hanging="306"/>
      </w:pPr>
      <w:r>
        <w:rPr>
          <w:sz w:val="18"/>
        </w:rPr>
        <w:t xml:space="preserve">British Medical Association. 2009. End-of-life decisions: Views of the British Medical Association. British Medical Association. </w:t>
      </w:r>
      <w:hyperlink r:id="rId9">
        <w:r>
          <w:rPr>
            <w:sz w:val="18"/>
          </w:rPr>
          <w:t xml:space="preserve">http://www.bma.org.uk/images/endlifedecisionsaug2009_tcm </w:t>
        </w:r>
      </w:hyperlink>
      <w:hyperlink r:id="rId10">
        <w:r>
          <w:rPr>
            <w:sz w:val="18"/>
          </w:rPr>
          <w:t>41-190116.pdf</w:t>
        </w:r>
      </w:hyperlink>
    </w:p>
    <w:p w:rsidR="00345F7B" w:rsidRDefault="00D7572D">
      <w:pPr>
        <w:spacing w:after="5" w:line="256" w:lineRule="auto"/>
        <w:ind w:left="291" w:hanging="306"/>
      </w:pPr>
      <w:r>
        <w:rPr>
          <w:sz w:val="18"/>
        </w:rPr>
        <w:t>Cartwright, C.M. 2004</w:t>
      </w:r>
      <w:r>
        <w:rPr>
          <w:sz w:val="18"/>
        </w:rPr>
        <w:t>. Factors impacting on the quality of life of terminally ill older people in the community. Unpublished PhD thesis, University of Queensland.</w:t>
      </w:r>
    </w:p>
    <w:p w:rsidR="00345F7B" w:rsidRDefault="00D7572D">
      <w:pPr>
        <w:spacing w:after="11" w:line="248" w:lineRule="auto"/>
        <w:ind w:left="281" w:right="0" w:hanging="296"/>
        <w:jc w:val="left"/>
      </w:pPr>
      <w:r>
        <w:rPr>
          <w:sz w:val="18"/>
        </w:rPr>
        <w:t xml:space="preserve">Cartwright, C.M. 2011. </w:t>
      </w:r>
      <w:r>
        <w:rPr>
          <w:sz w:val="18"/>
        </w:rPr>
        <w:t xml:space="preserve">Planning for the end of life for people with dementia: A report for Alzheimer’s Australia, </w:t>
      </w:r>
      <w:r>
        <w:rPr>
          <w:sz w:val="18"/>
        </w:rPr>
        <w:t>part 1</w:t>
      </w:r>
      <w:r>
        <w:rPr>
          <w:sz w:val="18"/>
        </w:rPr>
        <w:t>. Lismore, NSW: Southern Cross University.</w:t>
      </w:r>
    </w:p>
    <w:p w:rsidR="00345F7B" w:rsidRDefault="00D7572D">
      <w:pPr>
        <w:spacing w:after="5" w:line="256" w:lineRule="auto"/>
        <w:ind w:left="291" w:hanging="306"/>
      </w:pPr>
      <w:r>
        <w:rPr>
          <w:sz w:val="18"/>
        </w:rPr>
        <w:t xml:space="preserve">Cartwright, C., J. Montgomery, J. Rhee, and N. Zwar. 2009. </w:t>
      </w:r>
      <w:r>
        <w:rPr>
          <w:sz w:val="18"/>
        </w:rPr>
        <w:t>NSW medical practitioners’ knowledge of and attitudes to advance care planning</w:t>
      </w:r>
      <w:r>
        <w:rPr>
          <w:sz w:val="18"/>
        </w:rPr>
        <w:t>. Report to NSW Health, Lismore, NSW: Southern Cross University.</w:t>
      </w:r>
    </w:p>
    <w:p w:rsidR="00345F7B" w:rsidRDefault="00D7572D">
      <w:pPr>
        <w:spacing w:after="5" w:line="256" w:lineRule="auto"/>
        <w:ind w:left="291" w:hanging="306"/>
      </w:pPr>
      <w:r>
        <w:rPr>
          <w:sz w:val="18"/>
        </w:rPr>
        <w:t>Cartw</w:t>
      </w:r>
      <w:r>
        <w:rPr>
          <w:sz w:val="18"/>
        </w:rPr>
        <w:t xml:space="preserve">right, C.M., and M.H. Parker. 2004. Advance care planning and end-of-life decision making. </w:t>
      </w:r>
      <w:r>
        <w:rPr>
          <w:sz w:val="18"/>
        </w:rPr>
        <w:t xml:space="preserve">Australian Family Physician </w:t>
      </w:r>
      <w:r>
        <w:rPr>
          <w:sz w:val="18"/>
        </w:rPr>
        <w:t>33: 815–9.</w:t>
      </w:r>
    </w:p>
    <w:p w:rsidR="00345F7B" w:rsidRDefault="00D7572D">
      <w:pPr>
        <w:spacing w:after="5" w:line="256" w:lineRule="auto"/>
        <w:ind w:left="291" w:hanging="306"/>
      </w:pPr>
      <w:r>
        <w:rPr>
          <w:sz w:val="18"/>
        </w:rPr>
        <w:t xml:space="preserve">Cartwright, C.M., G.W. Robinson, M.A. Steinberg, G.M. Williams, J.M. Najman, and W.B. Tyler. 1998. </w:t>
      </w:r>
      <w:r>
        <w:rPr>
          <w:sz w:val="18"/>
        </w:rPr>
        <w:t>End-of-life decision-making</w:t>
      </w:r>
      <w:r>
        <w:rPr>
          <w:sz w:val="18"/>
        </w:rPr>
        <w:t>: Perspectives of Northern Territory doctors, nurses and community members</w:t>
      </w:r>
      <w:r>
        <w:rPr>
          <w:sz w:val="18"/>
        </w:rPr>
        <w:t>. Darwin, NT: The University of Queensland and Northern Territory</w:t>
      </w:r>
    </w:p>
    <w:p w:rsidR="00345F7B" w:rsidRDefault="00D7572D">
      <w:pPr>
        <w:spacing w:after="5" w:line="256" w:lineRule="auto"/>
        <w:ind w:left="296" w:firstLine="0"/>
      </w:pPr>
      <w:r>
        <w:rPr>
          <w:sz w:val="18"/>
        </w:rPr>
        <w:t>University.</w:t>
      </w:r>
    </w:p>
    <w:p w:rsidR="00345F7B" w:rsidRDefault="00D7572D">
      <w:pPr>
        <w:spacing w:after="5" w:line="256" w:lineRule="auto"/>
        <w:ind w:left="291" w:hanging="306"/>
      </w:pPr>
      <w:r>
        <w:rPr>
          <w:sz w:val="18"/>
        </w:rPr>
        <w:t xml:space="preserve">Cartwright, C.M., G.M. Williams, M.H. Parker, and M.A. Steinberg. 2006. </w:t>
      </w:r>
      <w:r>
        <w:rPr>
          <w:sz w:val="18"/>
        </w:rPr>
        <w:t xml:space="preserve">Medical decisions at the end of </w:t>
      </w:r>
      <w:r>
        <w:rPr>
          <w:sz w:val="18"/>
        </w:rPr>
        <w:t>life: Attitudes and practises of Australian medical practitioners</w:t>
      </w:r>
      <w:r>
        <w:rPr>
          <w:sz w:val="18"/>
        </w:rPr>
        <w:t>. Report to the National Health and Medical Research Council, Brisbane: The University of Queensland.</w:t>
      </w:r>
    </w:p>
    <w:p w:rsidR="00345F7B" w:rsidRDefault="00D7572D">
      <w:pPr>
        <w:spacing w:after="5" w:line="256" w:lineRule="auto"/>
        <w:ind w:left="291" w:hanging="306"/>
      </w:pPr>
      <w:r>
        <w:rPr>
          <w:sz w:val="18"/>
        </w:rPr>
        <w:t>Cochran, S.D., V.M. Mays, D. Bowen, S. Gage, D. Bybee, S.J. Roberts, R.S. Goldstein, A. R</w:t>
      </w:r>
      <w:r>
        <w:rPr>
          <w:sz w:val="18"/>
        </w:rPr>
        <w:t xml:space="preserve">obinson, E.J. Rankow, and J. White. 2001. Cancer-related risk indicators and preventive screening behaviours among lesbians and bisexual women. </w:t>
      </w:r>
      <w:r>
        <w:rPr>
          <w:sz w:val="18"/>
        </w:rPr>
        <w:t xml:space="preserve">American Journal of Public Health </w:t>
      </w:r>
      <w:r>
        <w:rPr>
          <w:sz w:val="18"/>
        </w:rPr>
        <w:t>91: 591–7.</w:t>
      </w:r>
    </w:p>
    <w:p w:rsidR="00345F7B" w:rsidRDefault="00D7572D">
      <w:pPr>
        <w:spacing w:after="5" w:line="256" w:lineRule="auto"/>
        <w:ind w:left="291" w:hanging="306"/>
      </w:pPr>
      <w:r>
        <w:rPr>
          <w:sz w:val="18"/>
        </w:rPr>
        <w:t>Detering, K.M., A.D. Hancock, M.C. Reade, and W. Sylvester. 2010. T</w:t>
      </w:r>
      <w:r>
        <w:rPr>
          <w:sz w:val="18"/>
        </w:rPr>
        <w:t xml:space="preserve">he impact of advance care planning on end of life care in elderly patients: Randomised controlled trial. </w:t>
      </w:r>
      <w:r>
        <w:rPr>
          <w:sz w:val="18"/>
        </w:rPr>
        <w:t>British Medical Journal</w:t>
      </w:r>
      <w:r>
        <w:rPr>
          <w:sz w:val="18"/>
        </w:rPr>
        <w:t>, doi: 10.1136/bmj.c134.</w:t>
      </w:r>
    </w:p>
    <w:p w:rsidR="00345F7B" w:rsidRDefault="00D7572D">
      <w:pPr>
        <w:spacing w:after="11" w:line="248" w:lineRule="auto"/>
        <w:ind w:left="281" w:right="0" w:hanging="296"/>
        <w:jc w:val="left"/>
      </w:pPr>
      <w:r>
        <w:rPr>
          <w:sz w:val="18"/>
        </w:rPr>
        <w:t xml:space="preserve">Doka, K. 1989. </w:t>
      </w:r>
      <w:r>
        <w:rPr>
          <w:sz w:val="18"/>
        </w:rPr>
        <w:t>Disenfranchised grief: Recognising hidden sorrow</w:t>
      </w:r>
      <w:r>
        <w:rPr>
          <w:sz w:val="18"/>
        </w:rPr>
        <w:t>. Lexington, MA: Lexington Books.</w:t>
      </w:r>
    </w:p>
    <w:p w:rsidR="00345F7B" w:rsidRDefault="00D7572D">
      <w:pPr>
        <w:spacing w:after="11" w:line="248" w:lineRule="auto"/>
        <w:ind w:left="-5" w:right="0" w:hanging="10"/>
        <w:jc w:val="left"/>
      </w:pPr>
      <w:r>
        <w:rPr>
          <w:sz w:val="18"/>
        </w:rPr>
        <w:t xml:space="preserve">Ezzy, D. 2002. </w:t>
      </w:r>
      <w:r>
        <w:rPr>
          <w:sz w:val="18"/>
        </w:rPr>
        <w:t>Qualitative analysis: Practice and innovation</w:t>
      </w:r>
      <w:r>
        <w:rPr>
          <w:sz w:val="18"/>
        </w:rPr>
        <w:t>. Sydney: Allen and Unwin.</w:t>
      </w:r>
    </w:p>
    <w:p w:rsidR="00345F7B" w:rsidRDefault="00D7572D">
      <w:pPr>
        <w:spacing w:after="5" w:line="256" w:lineRule="auto"/>
        <w:ind w:left="291" w:hanging="306"/>
      </w:pPr>
      <w:r>
        <w:rPr>
          <w:sz w:val="18"/>
        </w:rPr>
        <w:t xml:space="preserve">Fagerlin, A., and C.E. Schneider. 2004. Enough: The failure of the living will. </w:t>
      </w:r>
      <w:r>
        <w:rPr>
          <w:sz w:val="18"/>
        </w:rPr>
        <w:t xml:space="preserve">Hastings Centre Report </w:t>
      </w:r>
      <w:r>
        <w:rPr>
          <w:sz w:val="18"/>
        </w:rPr>
        <w:t>34: 30–42.</w:t>
      </w:r>
    </w:p>
    <w:p w:rsidR="00345F7B" w:rsidRDefault="00D7572D">
      <w:pPr>
        <w:spacing w:after="5" w:line="256" w:lineRule="auto"/>
        <w:ind w:left="291" w:hanging="306"/>
      </w:pPr>
      <w:r>
        <w:rPr>
          <w:sz w:val="18"/>
        </w:rPr>
        <w:t xml:space="preserve">Fried, T.R., K. Bullock, L. Iannone, and J.R. O’Leary. </w:t>
      </w:r>
      <w:r>
        <w:rPr>
          <w:sz w:val="18"/>
        </w:rPr>
        <w:t xml:space="preserve">2009. Understanding advance care planning as a process of health behavior change. </w:t>
      </w:r>
      <w:r>
        <w:rPr>
          <w:sz w:val="18"/>
        </w:rPr>
        <w:t xml:space="preserve">Journal of the American Geriatrics Society </w:t>
      </w:r>
      <w:r>
        <w:rPr>
          <w:sz w:val="18"/>
        </w:rPr>
        <w:t>57: 1547–55.</w:t>
      </w:r>
    </w:p>
    <w:p w:rsidR="00345F7B" w:rsidRDefault="00D7572D">
      <w:pPr>
        <w:spacing w:after="5" w:line="256" w:lineRule="auto"/>
        <w:ind w:left="-15" w:firstLine="0"/>
      </w:pPr>
      <w:r>
        <w:rPr>
          <w:sz w:val="18"/>
        </w:rPr>
        <w:t xml:space="preserve">Gillick, M.R. 2004. Advance care planning. </w:t>
      </w:r>
      <w:r>
        <w:rPr>
          <w:sz w:val="18"/>
        </w:rPr>
        <w:t xml:space="preserve">New England Journal of Medicine </w:t>
      </w:r>
      <w:r>
        <w:rPr>
          <w:sz w:val="18"/>
        </w:rPr>
        <w:t>350: 7–8.</w:t>
      </w:r>
    </w:p>
    <w:p w:rsidR="00345F7B" w:rsidRDefault="00D7572D">
      <w:pPr>
        <w:spacing w:after="11" w:line="248" w:lineRule="auto"/>
        <w:ind w:left="-5" w:right="0" w:hanging="10"/>
        <w:jc w:val="left"/>
      </w:pPr>
      <w:r>
        <w:rPr>
          <w:sz w:val="18"/>
        </w:rPr>
        <w:t xml:space="preserve">Grbich, C. 2007. </w:t>
      </w:r>
      <w:r>
        <w:rPr>
          <w:sz w:val="18"/>
        </w:rPr>
        <w:t>Qualitative data analysis: An introduction</w:t>
      </w:r>
      <w:r>
        <w:rPr>
          <w:sz w:val="18"/>
        </w:rPr>
        <w:t>. London: Sage.</w:t>
      </w:r>
    </w:p>
    <w:p w:rsidR="00345F7B" w:rsidRDefault="00D7572D">
      <w:pPr>
        <w:spacing w:after="5" w:line="256" w:lineRule="auto"/>
        <w:ind w:left="291" w:hanging="306"/>
      </w:pPr>
      <w:r>
        <w:rPr>
          <w:sz w:val="18"/>
        </w:rPr>
        <w:t>Harrison, J. 2006. Coming out ready or not! Gay, lesbian, bisexual, transgender and intersex ageing and aged care in Australia: Reflections, contemporary developments and the road a</w:t>
      </w:r>
      <w:r>
        <w:rPr>
          <w:sz w:val="18"/>
        </w:rPr>
        <w:t xml:space="preserve">head. </w:t>
      </w:r>
      <w:r>
        <w:rPr>
          <w:sz w:val="18"/>
        </w:rPr>
        <w:t xml:space="preserve">Gay and Lesbian Issues and Psychology Review </w:t>
      </w:r>
      <w:r>
        <w:rPr>
          <w:sz w:val="18"/>
        </w:rPr>
        <w:t>2: 44–53.</w:t>
      </w:r>
    </w:p>
    <w:p w:rsidR="00345F7B" w:rsidRDefault="00D7572D">
      <w:pPr>
        <w:spacing w:after="5" w:line="256" w:lineRule="auto"/>
        <w:ind w:left="291" w:hanging="306"/>
      </w:pPr>
      <w:r>
        <w:rPr>
          <w:sz w:val="18"/>
        </w:rPr>
        <w:t xml:space="preserve">Hash, K. 2006. Caregiving and post-caregiving experiences of midlife and older gay men and lesbians. </w:t>
      </w:r>
      <w:r>
        <w:rPr>
          <w:sz w:val="18"/>
        </w:rPr>
        <w:t xml:space="preserve">Journal of Gerontological Social Work </w:t>
      </w:r>
      <w:r>
        <w:rPr>
          <w:sz w:val="18"/>
        </w:rPr>
        <w:t>47: 121–38.</w:t>
      </w:r>
    </w:p>
    <w:p w:rsidR="00345F7B" w:rsidRDefault="00D7572D">
      <w:pPr>
        <w:spacing w:after="5" w:line="256" w:lineRule="auto"/>
        <w:ind w:left="291" w:hanging="306"/>
      </w:pPr>
      <w:r>
        <w:rPr>
          <w:sz w:val="18"/>
        </w:rPr>
        <w:t>Hash, K.M., and F.E. Netting. 2007. Long-ter</w:t>
      </w:r>
      <w:r>
        <w:rPr>
          <w:sz w:val="18"/>
        </w:rPr>
        <w:t xml:space="preserve">m planning and decision making among midlife and older gay men and lesbians. </w:t>
      </w:r>
      <w:r>
        <w:rPr>
          <w:sz w:val="18"/>
        </w:rPr>
        <w:t xml:space="preserve">Journal of Social Work in End-of-Life and Palliative Care </w:t>
      </w:r>
      <w:r>
        <w:rPr>
          <w:sz w:val="18"/>
        </w:rPr>
        <w:t>3: 59–77.</w:t>
      </w:r>
    </w:p>
    <w:p w:rsidR="00345F7B" w:rsidRDefault="00D7572D">
      <w:pPr>
        <w:spacing w:after="5" w:line="256" w:lineRule="auto"/>
        <w:ind w:left="291" w:hanging="306"/>
      </w:pPr>
      <w:r>
        <w:rPr>
          <w:sz w:val="18"/>
        </w:rPr>
        <w:t xml:space="preserve">Heaphy, B. 2007. Sexualities, gender and ageing: Resources and social change. </w:t>
      </w:r>
      <w:r>
        <w:rPr>
          <w:sz w:val="18"/>
        </w:rPr>
        <w:t xml:space="preserve">Current Sociology </w:t>
      </w:r>
      <w:r>
        <w:rPr>
          <w:sz w:val="18"/>
        </w:rPr>
        <w:t>55: 193–210.</w:t>
      </w:r>
    </w:p>
    <w:p w:rsidR="00345F7B" w:rsidRDefault="00D7572D">
      <w:pPr>
        <w:spacing w:after="5" w:line="256" w:lineRule="auto"/>
        <w:ind w:left="291" w:hanging="306"/>
      </w:pPr>
      <w:r>
        <w:rPr>
          <w:sz w:val="18"/>
        </w:rPr>
        <w:t>He</w:t>
      </w:r>
      <w:r>
        <w:rPr>
          <w:sz w:val="18"/>
        </w:rPr>
        <w:t xml:space="preserve">ffner, J.E. 2011. Advance care planning in chronic obstructive pulmonary disease: Barriers and opportunities. </w:t>
      </w:r>
      <w:r>
        <w:rPr>
          <w:sz w:val="18"/>
        </w:rPr>
        <w:t xml:space="preserve">Current Opion in Pulmonary Medicine </w:t>
      </w:r>
      <w:r>
        <w:rPr>
          <w:sz w:val="18"/>
        </w:rPr>
        <w:t>17: 103–9.</w:t>
      </w:r>
    </w:p>
    <w:p w:rsidR="00345F7B" w:rsidRDefault="00D7572D">
      <w:pPr>
        <w:spacing w:after="5" w:line="256" w:lineRule="auto"/>
        <w:ind w:left="291" w:hanging="306"/>
      </w:pPr>
      <w:r>
        <w:rPr>
          <w:sz w:val="18"/>
        </w:rPr>
        <w:t>Holt, M. 2011. Gay men and ambivalence about ‘gay community’: From gay community attachment to pers</w:t>
      </w:r>
      <w:r>
        <w:rPr>
          <w:sz w:val="18"/>
        </w:rPr>
        <w:t xml:space="preserve">onal communities. </w:t>
      </w:r>
      <w:r>
        <w:rPr>
          <w:sz w:val="18"/>
        </w:rPr>
        <w:t xml:space="preserve">Culture, Health and Sexuality </w:t>
      </w:r>
      <w:r>
        <w:rPr>
          <w:sz w:val="18"/>
        </w:rPr>
        <w:t>13: 857–71.</w:t>
      </w:r>
    </w:p>
    <w:p w:rsidR="00345F7B" w:rsidRDefault="00D7572D">
      <w:pPr>
        <w:spacing w:after="5" w:line="256" w:lineRule="auto"/>
        <w:ind w:left="291" w:hanging="306"/>
      </w:pPr>
      <w:r>
        <w:rPr>
          <w:sz w:val="18"/>
        </w:rPr>
        <w:t xml:space="preserve">Hughes, M. 2007. Older lesbians and gays accessing health and aged care services. </w:t>
      </w:r>
      <w:r>
        <w:rPr>
          <w:sz w:val="18"/>
        </w:rPr>
        <w:t xml:space="preserve">Australian Social Work </w:t>
      </w:r>
      <w:r>
        <w:rPr>
          <w:sz w:val="18"/>
        </w:rPr>
        <w:t>60: 197–209.</w:t>
      </w:r>
    </w:p>
    <w:p w:rsidR="00345F7B" w:rsidRDefault="00D7572D">
      <w:pPr>
        <w:spacing w:after="5" w:line="256" w:lineRule="auto"/>
        <w:ind w:left="291" w:hanging="306"/>
      </w:pPr>
      <w:r>
        <w:rPr>
          <w:sz w:val="18"/>
        </w:rPr>
        <w:t xml:space="preserve">Hughes, M. 2009. Lesbian and gay people’s concerns about ageing and accessing </w:t>
      </w:r>
      <w:r>
        <w:rPr>
          <w:sz w:val="18"/>
        </w:rPr>
        <w:t xml:space="preserve">services. </w:t>
      </w:r>
      <w:r>
        <w:rPr>
          <w:sz w:val="18"/>
        </w:rPr>
        <w:t xml:space="preserve">Australian Social Work </w:t>
      </w:r>
      <w:r>
        <w:rPr>
          <w:sz w:val="18"/>
        </w:rPr>
        <w:t>62: 186–201.</w:t>
      </w:r>
    </w:p>
    <w:p w:rsidR="00345F7B" w:rsidRDefault="00D7572D">
      <w:pPr>
        <w:spacing w:after="5" w:line="256" w:lineRule="auto"/>
        <w:ind w:left="291" w:hanging="306"/>
      </w:pPr>
      <w:r>
        <w:rPr>
          <w:sz w:val="18"/>
        </w:rPr>
        <w:t xml:space="preserve">Hughes, M. 2010. Expectations of later life support among lesbian and gay Queenslanders. </w:t>
      </w:r>
      <w:r>
        <w:rPr>
          <w:sz w:val="18"/>
        </w:rPr>
        <w:t xml:space="preserve">Australasian Journal on Ageing </w:t>
      </w:r>
      <w:r>
        <w:rPr>
          <w:sz w:val="18"/>
        </w:rPr>
        <w:t>29: 161–6.</w:t>
      </w:r>
    </w:p>
    <w:p w:rsidR="00345F7B" w:rsidRDefault="00D7572D">
      <w:pPr>
        <w:spacing w:after="5" w:line="256" w:lineRule="auto"/>
        <w:ind w:left="-15" w:firstLine="0"/>
      </w:pPr>
      <w:r>
        <w:rPr>
          <w:sz w:val="18"/>
        </w:rPr>
        <w:t>Hunter and New England Area Health Service v A [2009] NSWSC 761; NSW Supreme Co</w:t>
      </w:r>
      <w:r>
        <w:rPr>
          <w:sz w:val="18"/>
        </w:rPr>
        <w:t>urt.</w:t>
      </w:r>
    </w:p>
    <w:p w:rsidR="00345F7B" w:rsidRDefault="00D7572D">
      <w:pPr>
        <w:spacing w:after="5" w:line="256" w:lineRule="auto"/>
        <w:ind w:left="291" w:hanging="306"/>
      </w:pPr>
      <w:r>
        <w:rPr>
          <w:sz w:val="18"/>
        </w:rPr>
        <w:t xml:space="preserve">Lannutti, P.J. 2011. Security, recognition, and misgivings: Exploring older same-sex couples’ experience of legally recognized same-sex marriage. </w:t>
      </w:r>
      <w:r>
        <w:rPr>
          <w:sz w:val="18"/>
        </w:rPr>
        <w:t xml:space="preserve">Journal of Social and Personal Relationships </w:t>
      </w:r>
      <w:r>
        <w:rPr>
          <w:sz w:val="18"/>
        </w:rPr>
        <w:t>28: 64–82.</w:t>
      </w:r>
    </w:p>
    <w:p w:rsidR="00345F7B" w:rsidRDefault="00D7572D">
      <w:pPr>
        <w:spacing w:after="5" w:line="256" w:lineRule="auto"/>
        <w:ind w:left="291" w:hanging="306"/>
      </w:pPr>
      <w:r>
        <w:rPr>
          <w:sz w:val="18"/>
        </w:rPr>
        <w:t>Owen, G., and J. Catalan. 2012. ‘We never expecte</w:t>
      </w:r>
      <w:r>
        <w:rPr>
          <w:sz w:val="18"/>
        </w:rPr>
        <w:t xml:space="preserve">d this to happen’: Narratives of ageing with HIV among gay men living in London, UK. </w:t>
      </w:r>
      <w:r>
        <w:rPr>
          <w:sz w:val="18"/>
        </w:rPr>
        <w:t xml:space="preserve">Culture, Health and Sexuality </w:t>
      </w:r>
      <w:r>
        <w:rPr>
          <w:sz w:val="18"/>
        </w:rPr>
        <w:t>14: 59–72.</w:t>
      </w:r>
    </w:p>
    <w:p w:rsidR="00345F7B" w:rsidRDefault="00D7572D">
      <w:pPr>
        <w:spacing w:after="5" w:line="256" w:lineRule="auto"/>
        <w:ind w:left="291" w:hanging="306"/>
      </w:pPr>
      <w:r>
        <w:rPr>
          <w:sz w:val="18"/>
        </w:rPr>
        <w:t>Schickendanz, A.D., D. Schillinger, C.S. Landefeld, S.J. Knight, B.A. Williams, and R.L. Sudore. 2009. A clinical framework for im</w:t>
      </w:r>
      <w:r>
        <w:rPr>
          <w:sz w:val="18"/>
        </w:rPr>
        <w:t xml:space="preserve">proving the advance care planning process: Start with patients’ self-identified barriers. </w:t>
      </w:r>
      <w:r>
        <w:rPr>
          <w:sz w:val="18"/>
        </w:rPr>
        <w:t xml:space="preserve">Journal of the American Geriatrics Society </w:t>
      </w:r>
      <w:r>
        <w:rPr>
          <w:sz w:val="18"/>
        </w:rPr>
        <w:t>57: 31–9.</w:t>
      </w:r>
    </w:p>
    <w:p w:rsidR="00345F7B" w:rsidRDefault="00D7572D">
      <w:pPr>
        <w:spacing w:after="5" w:line="256" w:lineRule="auto"/>
        <w:ind w:left="291" w:hanging="306"/>
      </w:pPr>
      <w:r>
        <w:rPr>
          <w:sz w:val="18"/>
        </w:rPr>
        <w:t xml:space="preserve">Seale, C.F. 2004. Demographic change and the experience of dying. In </w:t>
      </w:r>
      <w:r>
        <w:rPr>
          <w:sz w:val="18"/>
        </w:rPr>
        <w:t>Death, dying and bereavement</w:t>
      </w:r>
      <w:r>
        <w:rPr>
          <w:sz w:val="18"/>
        </w:rPr>
        <w:t>, ed. D. Dickins</w:t>
      </w:r>
      <w:r>
        <w:rPr>
          <w:sz w:val="18"/>
        </w:rPr>
        <w:t>on, M. Johnson, and J.S. Katz, 35–43. London: Sage.</w:t>
      </w:r>
    </w:p>
    <w:p w:rsidR="00345F7B" w:rsidRDefault="00D7572D">
      <w:pPr>
        <w:spacing w:after="5" w:line="256" w:lineRule="auto"/>
        <w:ind w:left="291" w:hanging="306"/>
      </w:pPr>
      <w:r>
        <w:rPr>
          <w:sz w:val="18"/>
        </w:rPr>
        <w:t xml:space="preserve">Seymour, J., K. Almack, and S. Kennedy. 2010. Implementing advance care planning: A qualitative study of community nurses’ views and experiences. </w:t>
      </w:r>
      <w:r>
        <w:rPr>
          <w:sz w:val="18"/>
        </w:rPr>
        <w:t xml:space="preserve">BMC Palliative Care </w:t>
      </w:r>
      <w:r>
        <w:rPr>
          <w:sz w:val="18"/>
        </w:rPr>
        <w:t>9: 1–9.</w:t>
      </w:r>
    </w:p>
    <w:p w:rsidR="00345F7B" w:rsidRDefault="00D7572D">
      <w:pPr>
        <w:spacing w:after="5" w:line="256" w:lineRule="auto"/>
        <w:ind w:left="291" w:hanging="306"/>
      </w:pPr>
      <w:r>
        <w:rPr>
          <w:sz w:val="18"/>
        </w:rPr>
        <w:t>Shippy, R.A., M.H. Cantor, and</w:t>
      </w:r>
      <w:r>
        <w:rPr>
          <w:sz w:val="18"/>
        </w:rPr>
        <w:t xml:space="preserve"> M. Brennan. 2004. Social networks of aging gay men. </w:t>
      </w:r>
      <w:r>
        <w:rPr>
          <w:sz w:val="18"/>
        </w:rPr>
        <w:t xml:space="preserve">Journal of Men’s Studies </w:t>
      </w:r>
      <w:r>
        <w:rPr>
          <w:sz w:val="18"/>
        </w:rPr>
        <w:t>13: 107–20.</w:t>
      </w:r>
    </w:p>
    <w:p w:rsidR="00345F7B" w:rsidRDefault="00D7572D">
      <w:pPr>
        <w:spacing w:after="5" w:line="256" w:lineRule="auto"/>
        <w:ind w:left="291" w:hanging="306"/>
      </w:pPr>
      <w:r>
        <w:rPr>
          <w:sz w:val="18"/>
        </w:rPr>
        <w:t xml:space="preserve">Smolinski, K.M., and Y. Colo´n. 2006. Silent voices and invisible walls: Exploring end of life care with lesbians and gay men. </w:t>
      </w:r>
      <w:r>
        <w:rPr>
          <w:sz w:val="18"/>
        </w:rPr>
        <w:t xml:space="preserve">Journal of Psychosocial Oncology </w:t>
      </w:r>
      <w:r>
        <w:rPr>
          <w:sz w:val="18"/>
        </w:rPr>
        <w:t>24: 51</w:t>
      </w:r>
      <w:r>
        <w:rPr>
          <w:sz w:val="18"/>
        </w:rPr>
        <w:t>–64.</w:t>
      </w:r>
    </w:p>
    <w:p w:rsidR="00345F7B" w:rsidRDefault="00D7572D">
      <w:pPr>
        <w:spacing w:after="5" w:line="256" w:lineRule="auto"/>
        <w:ind w:left="291" w:hanging="306"/>
      </w:pPr>
      <w:r>
        <w:rPr>
          <w:sz w:val="18"/>
        </w:rPr>
        <w:t xml:space="preserve">Stein, G.L., and K.A. Bonuck. 2001. Attitudes on end-of-life care and advance care planning in the lesbian and gay community. </w:t>
      </w:r>
      <w:r>
        <w:rPr>
          <w:sz w:val="18"/>
        </w:rPr>
        <w:t xml:space="preserve">Journal of Palliative Medicine </w:t>
      </w:r>
      <w:r>
        <w:rPr>
          <w:sz w:val="18"/>
        </w:rPr>
        <w:t>4: 173–90.</w:t>
      </w:r>
    </w:p>
    <w:p w:rsidR="00345F7B" w:rsidRDefault="00D7572D">
      <w:pPr>
        <w:spacing w:after="5" w:line="256" w:lineRule="auto"/>
        <w:ind w:left="291" w:hanging="306"/>
      </w:pPr>
      <w:r>
        <w:rPr>
          <w:sz w:val="18"/>
        </w:rPr>
        <w:t xml:space="preserve">Steinberg, M.A., J.M. Najman, C.M. Cartwright, S.M. MacDonald, and G.M. Williams. 1997. Endof-life decision-making: Community and medical practitioners’ perspectives. </w:t>
      </w:r>
      <w:r>
        <w:rPr>
          <w:sz w:val="18"/>
        </w:rPr>
        <w:t xml:space="preserve">Medical Journal of Australia </w:t>
      </w:r>
      <w:r>
        <w:rPr>
          <w:sz w:val="18"/>
        </w:rPr>
        <w:t>166: 131–4.</w:t>
      </w:r>
    </w:p>
    <w:p w:rsidR="00345F7B" w:rsidRDefault="00D7572D">
      <w:pPr>
        <w:spacing w:after="5" w:line="256" w:lineRule="auto"/>
        <w:ind w:left="291" w:hanging="306"/>
      </w:pPr>
      <w:r>
        <w:rPr>
          <w:sz w:val="18"/>
        </w:rPr>
        <w:t>Stewart, F., C. Goddard, R. Schiff, and S. Hall.</w:t>
      </w:r>
      <w:r>
        <w:rPr>
          <w:sz w:val="18"/>
        </w:rPr>
        <w:t xml:space="preserve"> 2011. Advanced care planning in care homes for older people: A qualitative study of the views of care staff and families. </w:t>
      </w:r>
      <w:r>
        <w:rPr>
          <w:sz w:val="18"/>
        </w:rPr>
        <w:t xml:space="preserve">Age and Ageing </w:t>
      </w:r>
      <w:r>
        <w:rPr>
          <w:sz w:val="18"/>
        </w:rPr>
        <w:t>40: 330–5.</w:t>
      </w:r>
    </w:p>
    <w:p w:rsidR="00345F7B" w:rsidRDefault="00D7572D">
      <w:pPr>
        <w:spacing w:after="258" w:line="256" w:lineRule="auto"/>
        <w:ind w:left="291" w:hanging="306"/>
      </w:pPr>
      <w:r>
        <w:rPr>
          <w:sz w:val="18"/>
        </w:rPr>
        <w:t xml:space="preserve">Williams, M.E., and P.A. Freeman. 2007. Transgender health: Implications for aging and caregiving. </w:t>
      </w:r>
      <w:r>
        <w:rPr>
          <w:sz w:val="18"/>
        </w:rPr>
        <w:t xml:space="preserve">Journal </w:t>
      </w:r>
      <w:r>
        <w:rPr>
          <w:sz w:val="18"/>
        </w:rPr>
        <w:t xml:space="preserve">of Gay and Lesbian Social Services </w:t>
      </w:r>
      <w:r>
        <w:rPr>
          <w:sz w:val="18"/>
        </w:rPr>
        <w:t>18: 93–108.</w:t>
      </w:r>
    </w:p>
    <w:p w:rsidR="00345F7B" w:rsidRDefault="00D7572D">
      <w:pPr>
        <w:pStyle w:val="Heading1"/>
        <w:ind w:left="-5"/>
      </w:pPr>
      <w:r>
        <w:t>Re´sume´</w:t>
      </w:r>
    </w:p>
    <w:p w:rsidR="00345F7B" w:rsidRDefault="00D7572D">
      <w:pPr>
        <w:spacing w:after="236" w:line="256" w:lineRule="auto"/>
        <w:ind w:left="-15" w:firstLine="0"/>
      </w:pPr>
      <w:r>
        <w:rPr>
          <w:sz w:val="18"/>
        </w:rPr>
        <w:t>En Australie, les proble`mes particuliers auxquels sont confronte´s les gays, les lesbiennes, les bisexuel(le)s et les transgenres (personnes LGBT) dans les soins de fin de vie et la planification des</w:t>
      </w:r>
      <w:r>
        <w:rPr>
          <w:sz w:val="18"/>
        </w:rPr>
        <w:t xml:space="preserve"> soins avance´s ne sont pas bien compris. Cette e´tude exploratoire avait pour objectif la compre´hension initiale de ces proble`mes afin de documenter l’e´laboration d’une e´tude de plus grande ampleur ayant pour participants des usagers des services dest</w:t>
      </w:r>
      <w:r>
        <w:rPr>
          <w:sz w:val="18"/>
        </w:rPr>
        <w:t>ine´s aux personnes LGBT. Des consultations ont e´te´ conduites avec 19 prestataires de services et 6 membres de la communaute´ LGBT dans la re´gion des Northern Rivers et dans des zones du Grand Sydney (Nouvelles Galles du Sud, Australie). Les participant</w:t>
      </w:r>
      <w:r>
        <w:rPr>
          <w:sz w:val="18"/>
        </w:rPr>
        <w:t>s ont signale´ des obstacles a` l’acce`s aux soins, conse´quents a` des discriminations, a` des soins inapproprie´s et a` un manque de connaissances sur les droits en fin de vie, aussi bien parmi les usagers des services de soins que leurs prestataires. Le</w:t>
      </w:r>
      <w:r>
        <w:rPr>
          <w:sz w:val="18"/>
        </w:rPr>
        <w:t xml:space="preserve">s re´pondants ont e´galement rapporte´ certains obstacles a` la planification des soins avance´s, alors que celle-ci peut contribuer a` ame´liorer les soins de fin de vie. Ces obstacles comprennent le manque de connaissances et l’absence de perception sur </w:t>
      </w:r>
      <w:r>
        <w:rPr>
          <w:sz w:val="18"/>
        </w:rPr>
        <w:t xml:space="preserve">les besoins, ainsi que l’isolement social, dont re´sultent des difficulte´s a` identifier les diffe´rentes personnes devant prendre des de`cisions a` la place du patient en fin de vie. Cette e´tude a mis en lumie`re la ne´cessite´ d’informer les personnes </w:t>
      </w:r>
      <w:r>
        <w:rPr>
          <w:sz w:val="18"/>
        </w:rPr>
        <w:t>LGBT et celles qui sont en charge des soins, d’une manie`re ge´ne´rale et spe´cifiques aux personnes aˆge´es, sur les dispositions le´gales devant empeˆcher toute discrimination dans les soins de fin de vie.</w:t>
      </w:r>
    </w:p>
    <w:p w:rsidR="00345F7B" w:rsidRDefault="00D7572D">
      <w:pPr>
        <w:pStyle w:val="Heading1"/>
        <w:ind w:left="-5"/>
      </w:pPr>
      <w:r>
        <w:t>Resumen</w:t>
      </w:r>
    </w:p>
    <w:p w:rsidR="00345F7B" w:rsidRDefault="00D7572D">
      <w:pPr>
        <w:spacing w:after="5" w:line="256" w:lineRule="auto"/>
        <w:ind w:left="-15" w:firstLine="0"/>
      </w:pPr>
      <w:r>
        <w:rPr>
          <w:sz w:val="18"/>
        </w:rPr>
        <w:t>En Australia no se entienden muy bien los problemas especiales a los que se enfrenta la comunidad de lesbianas, gays, bisexuales y transexuales (LGBT) en cuestiones como los cuidados terminales y la planificacio´n anticipada de la atencio´n. El objetivo de</w:t>
      </w:r>
      <w:r>
        <w:rPr>
          <w:sz w:val="18"/>
        </w:rPr>
        <w:t xml:space="preserve"> este estudio preliminar es conseguir que estos problemas se empiecen a comprender para poder usar esta informacio´n en el desarrollo de un estudio ma´s grande sobre los usuarios de los servicios para la comunidad de LGBT. Se llevaron a cabo consultas con </w:t>
      </w:r>
      <w:r>
        <w:rPr>
          <w:sz w:val="18"/>
        </w:rPr>
        <w:t>19 proveedores de servicios y 6 miembros de la comunidad de LGBT en Northern Rivers y las a´reas metropolitanas de Sidney de Nueva Gales del Sur, Australia. Los participantes informaron que tenı´an dificultades a la hora de acceder a los servicios de asist</w:t>
      </w:r>
      <w:r>
        <w:rPr>
          <w:sz w:val="18"/>
        </w:rPr>
        <w:t xml:space="preserve">encia sanitaria debido a la discriminacio´n, el cuidado inapropiado y la falta de conocimiento sobre los derechos legales al final de la vida, tanto por parte de los consumidores como de los trabajadores sanitarios. Si bien la planificacio´n anticipada de </w:t>
      </w:r>
      <w:r>
        <w:rPr>
          <w:sz w:val="18"/>
        </w:rPr>
        <w:t>la atencio´n puede servir de ayuda para mejorar los cuidados terminales, los entrevistados informaron que existı´an una serie de inconvenientes. Entre ellos, una falta de conocimiento y la opinio´n de que no existı´a tal necesidad, adema´s del obsta´culo a</w:t>
      </w:r>
      <w:r>
        <w:rPr>
          <w:sz w:val="18"/>
        </w:rPr>
        <w:t>dicional del aislamiento social, lo que causaba problemas para identificar a otros responsables de tomar las decisiones. El estudio pone de relieve que es necesaria una formacio´n para la comunidad de LGBT y proveedores sanitarios y de cuidados a los mayor</w:t>
      </w:r>
      <w:r>
        <w:rPr>
          <w:sz w:val="18"/>
        </w:rPr>
        <w:t>es sobre las disposiciones legales existentes a fin de prevenir la discriminacio´n en la asistencia al final de la vida.</w:t>
      </w:r>
    </w:p>
    <w:p w:rsidR="00345F7B" w:rsidRDefault="00345F7B">
      <w:pPr>
        <w:sectPr w:rsidR="00345F7B">
          <w:headerReference w:type="even" r:id="rId11"/>
          <w:headerReference w:type="default" r:id="rId12"/>
          <w:headerReference w:type="first" r:id="rId13"/>
          <w:pgSz w:w="9920" w:h="14180"/>
          <w:pgMar w:top="878" w:right="1399" w:bottom="681" w:left="1346" w:header="720" w:footer="720" w:gutter="0"/>
          <w:pgNumType w:start="537"/>
          <w:cols w:space="720"/>
          <w:titlePg/>
        </w:sectPr>
      </w:pPr>
    </w:p>
    <w:p w:rsidR="00345F7B" w:rsidRDefault="00D7572D">
      <w:pPr>
        <w:spacing w:after="52" w:line="259" w:lineRule="auto"/>
        <w:ind w:left="-5" w:right="0" w:hanging="10"/>
        <w:jc w:val="left"/>
      </w:pPr>
      <w:r>
        <w:rPr>
          <w:color w:val="000000"/>
          <w:sz w:val="24"/>
        </w:rPr>
        <w:t>Copyright of Culture, Health &amp; Sexuality is the property of Routledge and its content may not be copied or emailed to multiple sites or posted to a listserv without the copyright holder's express written p</w:t>
      </w:r>
      <w:r>
        <w:rPr>
          <w:color w:val="000000"/>
          <w:sz w:val="24"/>
        </w:rPr>
        <w:t>ermission.</w:t>
      </w:r>
    </w:p>
    <w:p w:rsidR="00345F7B" w:rsidRDefault="00D7572D">
      <w:pPr>
        <w:spacing w:after="0" w:line="259" w:lineRule="auto"/>
        <w:ind w:left="-5" w:right="0" w:hanging="10"/>
        <w:jc w:val="left"/>
      </w:pPr>
      <w:r>
        <w:rPr>
          <w:color w:val="000000"/>
          <w:sz w:val="24"/>
        </w:rPr>
        <w:t>However, users may print, download, or email articles for individual use.</w:t>
      </w:r>
    </w:p>
    <w:sectPr w:rsidR="00345F7B">
      <w:headerReference w:type="even" r:id="rId14"/>
      <w:headerReference w:type="default" r:id="rId15"/>
      <w:headerReference w:type="first" r:id="rId16"/>
      <w:pgSz w:w="12240" w:h="15840"/>
      <w:pgMar w:top="1440" w:right="1234"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72D" w:rsidRDefault="00D7572D">
      <w:pPr>
        <w:spacing w:after="0" w:line="240" w:lineRule="auto"/>
      </w:pPr>
      <w:r>
        <w:separator/>
      </w:r>
    </w:p>
  </w:endnote>
  <w:endnote w:type="continuationSeparator" w:id="0">
    <w:p w:rsidR="00D7572D" w:rsidRDefault="00D7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72D" w:rsidRDefault="00D7572D">
      <w:pPr>
        <w:spacing w:after="0" w:line="240" w:lineRule="auto"/>
      </w:pPr>
      <w:r>
        <w:separator/>
      </w:r>
    </w:p>
  </w:footnote>
  <w:footnote w:type="continuationSeparator" w:id="0">
    <w:p w:rsidR="00D7572D" w:rsidRDefault="00D75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D7572D">
    <w:pPr>
      <w:tabs>
        <w:tab w:val="center" w:pos="1494"/>
      </w:tabs>
      <w:spacing w:after="0" w:line="259" w:lineRule="auto"/>
      <w:ind w:right="0" w:firstLine="0"/>
      <w:jc w:val="left"/>
    </w:pPr>
    <w:r>
      <w:fldChar w:fldCharType="begin"/>
    </w:r>
    <w:r>
      <w:instrText xml:space="preserve"> PAGE   \* MERGEFORMAT </w:instrText>
    </w:r>
    <w:r>
      <w:fldChar w:fldCharType="separate"/>
    </w:r>
    <w:r>
      <w:t>538</w:t>
    </w:r>
    <w:r>
      <w:fldChar w:fldCharType="end"/>
    </w:r>
    <w:r>
      <w:tab/>
    </w:r>
    <w:r>
      <w:t xml:space="preserve">C. Cartwright </w:t>
    </w:r>
    <w:r>
      <w:t>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D7572D">
    <w:pPr>
      <w:tabs>
        <w:tab w:val="center" w:pos="5335"/>
        <w:tab w:val="right" w:pos="7175"/>
      </w:tabs>
      <w:spacing w:after="0" w:line="259" w:lineRule="auto"/>
      <w:ind w:right="0" w:firstLine="0"/>
      <w:jc w:val="left"/>
    </w:pPr>
    <w:r>
      <w:rPr>
        <w:rFonts w:ascii="Calibri" w:eastAsia="Calibri" w:hAnsi="Calibri" w:cs="Calibri"/>
        <w:color w:val="000000"/>
        <w:sz w:val="22"/>
      </w:rPr>
      <w:tab/>
    </w:r>
    <w:r>
      <w:t>Culture, Health &amp; Sexuality</w:t>
    </w:r>
    <w:r>
      <w:tab/>
    </w:r>
    <w:r>
      <w:fldChar w:fldCharType="begin"/>
    </w:r>
    <w:r>
      <w:instrText xml:space="preserve"> PAGE   \* MERGEFORMAT </w:instrText>
    </w:r>
    <w:r>
      <w:fldChar w:fldCharType="separate"/>
    </w:r>
    <w:r>
      <w:t>539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345F7B">
    <w:pPr>
      <w:spacing w:after="160" w:line="259" w:lineRule="auto"/>
      <w:ind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345F7B">
    <w:pPr>
      <w:spacing w:after="160" w:line="259" w:lineRule="auto"/>
      <w:ind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345F7B">
    <w:pPr>
      <w:spacing w:after="160" w:line="259" w:lineRule="auto"/>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F7B" w:rsidRDefault="00345F7B">
    <w:pPr>
      <w:spacing w:after="160" w:line="259" w:lineRule="auto"/>
      <w:ind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F7B"/>
    <w:rsid w:val="00345F7B"/>
    <w:rsid w:val="00524558"/>
    <w:rsid w:val="00D7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04A1E-5833-447F-B06E-7C47B5DA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53" w:lineRule="auto"/>
      <w:ind w:right="2" w:firstLine="288"/>
      <w:jc w:val="both"/>
    </w:pPr>
    <w:rPr>
      <w:rFonts w:ascii="Times New Roman" w:eastAsia="Times New Roman" w:hAnsi="Times New Roman" w:cs="Times New Roman"/>
      <w:color w:val="231F20"/>
      <w:sz w:val="20"/>
    </w:rPr>
  </w:style>
  <w:style w:type="paragraph" w:styleId="Heading1">
    <w:name w:val="heading 1"/>
    <w:next w:val="Normal"/>
    <w:link w:val="Heading1Char"/>
    <w:uiPriority w:val="9"/>
    <w:qFormat/>
    <w:pPr>
      <w:keepNext/>
      <w:keepLines/>
      <w:spacing w:after="53"/>
      <w:ind w:left="10" w:hanging="10"/>
      <w:outlineLvl w:val="0"/>
    </w:pPr>
    <w:rPr>
      <w:rFonts w:ascii="Times New Roman" w:eastAsia="Times New Roman" w:hAnsi="Times New Roman" w:cs="Times New Roman"/>
      <w:color w:val="231F2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231F2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tandfonline.com/"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x.doi.org/10.1080/13691058.2012.673639"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hyperlink" Target="http://www.bma.org.uk/images/endlifedecisionsaug2009_tcm41-190116.pdf" TargetMode="External"/><Relationship Id="rId4" Type="http://schemas.openxmlformats.org/officeDocument/2006/relationships/footnotes" Target="footnotes.xml"/><Relationship Id="rId9" Type="http://schemas.openxmlformats.org/officeDocument/2006/relationships/hyperlink" Target="http://www.bma.org.uk/images/endlifedecisionsaug2009_tcm41-190116.pdf"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6752</Words>
  <Characters>38488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415009 537..548</vt:lpstr>
    </vt:vector>
  </TitlesOfParts>
  <Company/>
  <LinksUpToDate>false</LinksUpToDate>
  <CharactersWithSpaces>45150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415009 537..548</dc:title>
  <dc:subject/>
  <dc:creator>faiza hamlani</dc:creator>
  <cp:keywords/>
  <cp:lastModifiedBy>faiza hamlani</cp:lastModifiedBy>
  <cp:revision>2</cp:revision>
  <dcterms:created xsi:type="dcterms:W3CDTF">2019-03-08T03:31:00Z</dcterms:created>
  <dcterms:modified xsi:type="dcterms:W3CDTF">2019-03-08T03:31:00Z</dcterms:modified>
</cp:coreProperties>
</file>