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B620E" w:rsidRDefault="0018438E">
      <w:pPr>
        <w:spacing w:after="157" w:line="259" w:lineRule="auto"/>
        <w:ind w:left="39"/>
        <w:jc w:val="center"/>
      </w:pPr>
      <w:r>
        <w:rPr>
          <w:sz w:val="36"/>
        </w:rPr>
        <w:t xml:space="preserve">Week 2 </w:t>
      </w:r>
    </w:p>
    <w:p w:rsidR="009B620E" w:rsidRDefault="00EE7BF4">
      <w:pPr>
        <w:spacing w:after="157" w:line="259" w:lineRule="auto"/>
        <w:ind w:left="39" w:right="7"/>
        <w:jc w:val="center"/>
      </w:pPr>
      <w:r>
        <w:rPr>
          <w:sz w:val="36"/>
        </w:rPr>
        <w:t xml:space="preserve">Lecture: </w:t>
      </w:r>
      <w:r w:rsidR="0018438E">
        <w:rPr>
          <w:sz w:val="36"/>
        </w:rPr>
        <w:t xml:space="preserve">The Social Construction of Gender </w:t>
      </w:r>
    </w:p>
    <w:p w:rsidR="009B620E" w:rsidRDefault="0018438E">
      <w:pPr>
        <w:spacing w:after="195" w:line="259" w:lineRule="auto"/>
        <w:ind w:left="0" w:firstLine="0"/>
      </w:pPr>
      <w:r>
        <w:rPr>
          <w:sz w:val="36"/>
        </w:rPr>
        <w:t xml:space="preserve"> </w:t>
      </w:r>
    </w:p>
    <w:p w:rsidR="009B620E" w:rsidRDefault="0018438E">
      <w:pPr>
        <w:pStyle w:val="Heading1"/>
        <w:ind w:left="-5"/>
      </w:pPr>
      <w:r>
        <w:t xml:space="preserve">What is a “social construct?” </w:t>
      </w:r>
    </w:p>
    <w:p w:rsidR="009B620E" w:rsidRDefault="0018438E">
      <w:pPr>
        <w:ind w:left="-5"/>
      </w:pPr>
      <w:r>
        <w:t>Sociologists believe that social values, beliefs and norms are constructed.  Constructs are ideologies embedded in larger structural institutions such as capitalism, religion and government policies.  Since constructs are based on larger societal condition</w:t>
      </w:r>
      <w:r>
        <w:t xml:space="preserve">s, they are fluid—yet bounded in time and space.   </w:t>
      </w:r>
    </w:p>
    <w:p w:rsidR="009B620E" w:rsidRDefault="0018438E">
      <w:pPr>
        <w:spacing w:after="270" w:line="259" w:lineRule="auto"/>
        <w:ind w:left="0" w:firstLine="0"/>
      </w:pPr>
      <w:r>
        <w:t xml:space="preserve"> </w:t>
      </w:r>
    </w:p>
    <w:p w:rsidR="009B620E" w:rsidRDefault="0018438E">
      <w:pPr>
        <w:pStyle w:val="Heading1"/>
        <w:ind w:left="-5"/>
      </w:pPr>
      <w:r>
        <w:t xml:space="preserve">Thinking about “Gender Constructs” </w:t>
      </w:r>
    </w:p>
    <w:p w:rsidR="009B620E" w:rsidRDefault="0018438E">
      <w:pPr>
        <w:ind w:left="-5"/>
      </w:pPr>
      <w:r>
        <w:t xml:space="preserve">Let’s take the concept of social construct a step further to explore how gender expectations are defined and re-defined.   </w:t>
      </w:r>
    </w:p>
    <w:p w:rsidR="009B620E" w:rsidRDefault="0018438E">
      <w:pPr>
        <w:spacing w:after="157" w:line="259" w:lineRule="auto"/>
        <w:ind w:left="0" w:firstLine="0"/>
      </w:pPr>
      <w:r>
        <w:t xml:space="preserve"> </w:t>
      </w:r>
    </w:p>
    <w:p w:rsidR="009B620E" w:rsidRDefault="0018438E">
      <w:pPr>
        <w:ind w:left="-5"/>
      </w:pPr>
      <w:r>
        <w:t>How are men and women defined?  This bro</w:t>
      </w:r>
      <w:r>
        <w:t xml:space="preserve">ad question has been introduced several debates about gender scripts and performances.  Meaning, how men and women “should” behave under (X) condition.   </w:t>
      </w:r>
    </w:p>
    <w:p w:rsidR="009B620E" w:rsidRDefault="0018438E">
      <w:pPr>
        <w:spacing w:after="160" w:line="259" w:lineRule="auto"/>
        <w:ind w:left="0" w:firstLine="0"/>
      </w:pPr>
      <w:r>
        <w:t xml:space="preserve"> </w:t>
      </w:r>
    </w:p>
    <w:p w:rsidR="009B620E" w:rsidRDefault="0018438E">
      <w:pPr>
        <w:pStyle w:val="Heading2"/>
        <w:ind w:left="-5"/>
      </w:pPr>
      <w:r>
        <w:t xml:space="preserve">Biological Determinism </w:t>
      </w:r>
    </w:p>
    <w:p w:rsidR="009B620E" w:rsidRDefault="0018438E">
      <w:pPr>
        <w:ind w:left="-5"/>
      </w:pPr>
      <w:r>
        <w:t>If we think about scientific conditions for determining one’s sex, biologic</w:t>
      </w:r>
      <w:r>
        <w:t xml:space="preserve">al theories suggest that chromosome differences define men and women. </w:t>
      </w:r>
    </w:p>
    <w:p w:rsidR="009B620E" w:rsidRDefault="0018438E">
      <w:pPr>
        <w:spacing w:after="154" w:line="259" w:lineRule="auto"/>
        <w:ind w:left="591" w:right="552"/>
        <w:jc w:val="center"/>
      </w:pPr>
      <w:r>
        <w:rPr>
          <w:b/>
        </w:rPr>
        <w:t xml:space="preserve">XX=Girl </w:t>
      </w:r>
    </w:p>
    <w:p w:rsidR="009B620E" w:rsidRDefault="0018438E">
      <w:pPr>
        <w:spacing w:after="154" w:line="259" w:lineRule="auto"/>
        <w:ind w:left="591" w:right="552"/>
        <w:jc w:val="center"/>
      </w:pPr>
      <w:r>
        <w:rPr>
          <w:b/>
        </w:rPr>
        <w:t xml:space="preserve">XY=Boy </w:t>
      </w:r>
    </w:p>
    <w:p w:rsidR="009B620E" w:rsidRDefault="0018438E">
      <w:pPr>
        <w:spacing w:after="155" w:line="259" w:lineRule="auto"/>
        <w:ind w:left="98" w:firstLine="0"/>
        <w:jc w:val="center"/>
      </w:pPr>
      <w:r>
        <w:t xml:space="preserve"> </w:t>
      </w:r>
    </w:p>
    <w:p w:rsidR="009B620E" w:rsidRDefault="0018438E">
      <w:pPr>
        <w:ind w:left="-5"/>
      </w:pPr>
      <w:r>
        <w:t xml:space="preserve">Physiologically, science also claims that the reproductive system and genitalia for men and women also define distinct sex characteristics.  </w:t>
      </w:r>
    </w:p>
    <w:p w:rsidR="009B620E" w:rsidRDefault="0018438E">
      <w:pPr>
        <w:spacing w:after="271" w:line="375" w:lineRule="auto"/>
        <w:ind w:left="591" w:right="482"/>
        <w:jc w:val="center"/>
      </w:pPr>
      <w:r>
        <w:rPr>
          <w:b/>
        </w:rPr>
        <w:t xml:space="preserve">Vagina, Uterus, Ovaries, Estrogen and Progesterone = Women Penis, Testes, Prostate, Testosterone = Men </w:t>
      </w:r>
    </w:p>
    <w:p w:rsidR="009B620E" w:rsidRDefault="0018438E">
      <w:pPr>
        <w:spacing w:after="0" w:line="259" w:lineRule="auto"/>
        <w:ind w:left="188" w:firstLine="0"/>
        <w:jc w:val="center"/>
      </w:pPr>
      <w:r>
        <w:rPr>
          <w:rFonts w:ascii="Calibri" w:eastAsia="Calibri" w:hAnsi="Calibri" w:cs="Calibri"/>
          <w:sz w:val="22"/>
        </w:rPr>
        <w:lastRenderedPageBreak/>
        <w:t xml:space="preserve"> </w:t>
      </w:r>
    </w:p>
    <w:p w:rsidR="009B620E" w:rsidRDefault="0018438E">
      <w:pPr>
        <w:spacing w:after="0" w:line="259" w:lineRule="auto"/>
        <w:ind w:left="0" w:firstLine="0"/>
      </w:pPr>
      <w:r>
        <w:rPr>
          <w:rFonts w:ascii="Calibri" w:eastAsia="Calibri" w:hAnsi="Calibri" w:cs="Calibri"/>
          <w:sz w:val="22"/>
        </w:rPr>
        <w:t xml:space="preserve"> </w:t>
      </w:r>
    </w:p>
    <w:p w:rsidR="009B620E" w:rsidRDefault="0018438E">
      <w:pPr>
        <w:pStyle w:val="Heading1"/>
        <w:ind w:left="-5"/>
      </w:pPr>
      <w:r>
        <w:t>Moving</w:t>
      </w:r>
      <w:r>
        <w:t xml:space="preserve"> Beyond Biological Constructs into the Social World </w:t>
      </w:r>
    </w:p>
    <w:p w:rsidR="009B620E" w:rsidRDefault="0018438E">
      <w:pPr>
        <w:ind w:left="-5"/>
      </w:pPr>
      <w:r>
        <w:t xml:space="preserve">Biological definitions of men and women are often complicated by behavioral expectations.  </w:t>
      </w:r>
    </w:p>
    <w:p w:rsidR="009B620E" w:rsidRDefault="0018438E">
      <w:pPr>
        <w:spacing w:after="157" w:line="259" w:lineRule="auto"/>
        <w:ind w:left="0" w:firstLine="0"/>
      </w:pPr>
      <w:r>
        <w:t xml:space="preserve"> </w:t>
      </w:r>
    </w:p>
    <w:p w:rsidR="009B620E" w:rsidRDefault="0018438E">
      <w:pPr>
        <w:ind w:left="-5"/>
      </w:pPr>
      <w:r>
        <w:t xml:space="preserve">List some common behavioral expectations associated with men and women here: </w:t>
      </w:r>
    </w:p>
    <w:p w:rsidR="009B620E" w:rsidRDefault="0018438E">
      <w:pPr>
        <w:spacing w:after="163" w:line="259" w:lineRule="auto"/>
        <w:ind w:left="0" w:firstLine="0"/>
      </w:pPr>
      <w:r>
        <w:t xml:space="preserve"> </w:t>
      </w:r>
    </w:p>
    <w:p w:rsidR="009B620E" w:rsidRDefault="0018438E">
      <w:pPr>
        <w:pStyle w:val="Heading2"/>
        <w:tabs>
          <w:tab w:val="center" w:pos="1440"/>
          <w:tab w:val="center" w:pos="2160"/>
          <w:tab w:val="center" w:pos="2881"/>
          <w:tab w:val="center" w:pos="3601"/>
          <w:tab w:val="center" w:pos="4321"/>
          <w:tab w:val="center" w:pos="5313"/>
        </w:tabs>
        <w:ind w:left="-15" w:firstLine="0"/>
      </w:pPr>
      <w:r>
        <w:t>Women</w:t>
      </w:r>
      <w:r>
        <w:rPr>
          <w:b w:val="0"/>
        </w:rPr>
        <w:t xml:space="preserve"> </w:t>
      </w:r>
      <w:r>
        <w:rPr>
          <w:b w:val="0"/>
        </w:rPr>
        <w:tab/>
        <w:t xml:space="preserve"> </w:t>
      </w:r>
      <w:r>
        <w:rPr>
          <w:b w:val="0"/>
        </w:rPr>
        <w:tab/>
        <w:t xml:space="preserve"> </w:t>
      </w:r>
      <w:r>
        <w:rPr>
          <w:b w:val="0"/>
        </w:rPr>
        <w:tab/>
        <w:t xml:space="preserve"> </w:t>
      </w:r>
      <w:r>
        <w:rPr>
          <w:b w:val="0"/>
        </w:rPr>
        <w:tab/>
        <w:t xml:space="preserve"> </w:t>
      </w:r>
      <w:r>
        <w:rPr>
          <w:b w:val="0"/>
        </w:rPr>
        <w:tab/>
        <w:t xml:space="preserve"> </w:t>
      </w:r>
      <w:r>
        <w:rPr>
          <w:b w:val="0"/>
        </w:rPr>
        <w:tab/>
      </w:r>
      <w:r>
        <w:t>Men</w:t>
      </w:r>
      <w:r>
        <w:rPr>
          <w:b w:val="0"/>
        </w:rPr>
        <w:t xml:space="preserve"> </w:t>
      </w:r>
    </w:p>
    <w:p w:rsidR="009B620E" w:rsidRDefault="0018438E">
      <w:pPr>
        <w:spacing w:after="157" w:line="259" w:lineRule="auto"/>
        <w:ind w:left="0" w:firstLine="0"/>
      </w:pPr>
      <w:r>
        <w:t xml:space="preserve"> </w:t>
      </w:r>
    </w:p>
    <w:p w:rsidR="009B620E" w:rsidRDefault="0018438E">
      <w:pPr>
        <w:spacing w:after="155" w:line="259" w:lineRule="auto"/>
        <w:ind w:left="0" w:firstLine="0"/>
      </w:pPr>
      <w:r>
        <w:t xml:space="preserve"> </w:t>
      </w:r>
    </w:p>
    <w:p w:rsidR="009B620E" w:rsidRDefault="0018438E">
      <w:pPr>
        <w:ind w:left="-5"/>
      </w:pPr>
      <w:r>
        <w:t xml:space="preserve">Were there any traits that appeared on both?  </w:t>
      </w:r>
    </w:p>
    <w:p w:rsidR="009B620E" w:rsidRDefault="0018438E">
      <w:pPr>
        <w:ind w:left="-5"/>
      </w:pPr>
      <w:r>
        <w:t xml:space="preserve">Try this list comparing behavioral expectations of gays and lesbians to straight individuals: </w:t>
      </w:r>
    </w:p>
    <w:p w:rsidR="009B620E" w:rsidRDefault="0018438E">
      <w:pPr>
        <w:spacing w:after="160" w:line="259" w:lineRule="auto"/>
        <w:ind w:left="0" w:firstLine="0"/>
      </w:pPr>
      <w:r>
        <w:t xml:space="preserve"> </w:t>
      </w:r>
    </w:p>
    <w:p w:rsidR="009B620E" w:rsidRDefault="0018438E">
      <w:pPr>
        <w:tabs>
          <w:tab w:val="center" w:pos="2881"/>
          <w:tab w:val="center" w:pos="3601"/>
          <w:tab w:val="center" w:pos="4321"/>
          <w:tab w:val="center" w:pos="5041"/>
          <w:tab w:val="center" w:pos="6251"/>
        </w:tabs>
        <w:spacing w:after="147" w:line="265" w:lineRule="auto"/>
        <w:ind w:left="-15" w:firstLine="0"/>
      </w:pPr>
      <w:r>
        <w:rPr>
          <w:b/>
        </w:rPr>
        <w:t xml:space="preserve">Gays and Lesbians </w:t>
      </w:r>
      <w:r>
        <w:rPr>
          <w:b/>
        </w:rPr>
        <w:tab/>
        <w:t xml:space="preserve"> </w:t>
      </w:r>
      <w:r>
        <w:rPr>
          <w:b/>
        </w:rPr>
        <w:tab/>
        <w:t xml:space="preserve"> </w:t>
      </w:r>
      <w:r>
        <w:rPr>
          <w:b/>
        </w:rPr>
        <w:tab/>
        <w:t xml:space="preserve"> </w:t>
      </w:r>
      <w:r>
        <w:rPr>
          <w:b/>
        </w:rPr>
        <w:tab/>
        <w:t xml:space="preserve"> </w:t>
      </w:r>
      <w:r>
        <w:rPr>
          <w:b/>
        </w:rPr>
        <w:tab/>
        <w:t xml:space="preserve">Straight </w:t>
      </w:r>
    </w:p>
    <w:p w:rsidR="009B620E" w:rsidRDefault="0018438E">
      <w:pPr>
        <w:spacing w:line="259" w:lineRule="auto"/>
        <w:ind w:left="0" w:firstLine="0"/>
      </w:pPr>
      <w:r>
        <w:rPr>
          <w:b/>
        </w:rPr>
        <w:t xml:space="preserve"> </w:t>
      </w:r>
    </w:p>
    <w:p w:rsidR="009B620E" w:rsidRDefault="0018438E">
      <w:pPr>
        <w:spacing w:after="201" w:line="259" w:lineRule="auto"/>
        <w:ind w:left="0" w:firstLine="0"/>
      </w:pPr>
      <w:r>
        <w:t xml:space="preserve"> </w:t>
      </w:r>
    </w:p>
    <w:p w:rsidR="009B620E" w:rsidRDefault="0018438E">
      <w:pPr>
        <w:pStyle w:val="Heading1"/>
        <w:ind w:left="-5"/>
      </w:pPr>
      <w:r>
        <w:t xml:space="preserve">Social Theory </w:t>
      </w:r>
    </w:p>
    <w:p w:rsidR="009B620E" w:rsidRDefault="0018438E">
      <w:pPr>
        <w:ind w:left="-5"/>
      </w:pPr>
      <w:r>
        <w:t>Now, let’s apply social theory to discuss gender constru</w:t>
      </w:r>
      <w:r>
        <w:t xml:space="preserve">cts.   </w:t>
      </w:r>
    </w:p>
    <w:p w:rsidR="009B620E" w:rsidRDefault="0018438E">
      <w:pPr>
        <w:spacing w:after="155" w:line="259" w:lineRule="auto"/>
        <w:ind w:left="0" w:firstLine="0"/>
      </w:pPr>
      <w:r>
        <w:rPr>
          <w:b/>
        </w:rPr>
        <w:t>George H. Mead</w:t>
      </w:r>
      <w:r>
        <w:t xml:space="preserve"> who discussed </w:t>
      </w:r>
      <w:r>
        <w:rPr>
          <w:i/>
        </w:rPr>
        <w:t>Roles, the Self and the Generalized Other.</w:t>
      </w:r>
      <w:r>
        <w:t xml:space="preserve">   </w:t>
      </w:r>
    </w:p>
    <w:p w:rsidR="009B620E" w:rsidRDefault="0018438E">
      <w:pPr>
        <w:ind w:left="-5"/>
      </w:pPr>
      <w:r>
        <w:t xml:space="preserve">According to this theoretical perspective, individuals in society learn roles by imitation and performance.  </w:t>
      </w:r>
    </w:p>
    <w:p w:rsidR="009B620E" w:rsidRDefault="0018438E">
      <w:pPr>
        <w:ind w:left="-5"/>
      </w:pPr>
      <w:r>
        <w:t xml:space="preserve">**Girls are more likely to behave like their mothers, while boys like their fathers. </w:t>
      </w:r>
    </w:p>
    <w:p w:rsidR="009B620E" w:rsidRDefault="0018438E" w:rsidP="00EE7BF4">
      <w:pPr>
        <w:ind w:left="-5"/>
      </w:pPr>
      <w:r>
        <w:t>However, the self is not only define through role playing with individuals of the same sex or gender but also based on communities or groups which one belongs to. These s</w:t>
      </w:r>
      <w:r>
        <w:t xml:space="preserve">ubgroups can be religious, ethnic groups, college associations or political parties. </w:t>
      </w:r>
      <w:bookmarkStart w:id="0" w:name="_GoBack"/>
      <w:bookmarkEnd w:id="0"/>
    </w:p>
    <w:sectPr w:rsidR="009B620E">
      <w:footerReference w:type="even" r:id="rId7"/>
      <w:footerReference w:type="default" r:id="rId8"/>
      <w:footerReference w:type="first" r:id="rId9"/>
      <w:pgSz w:w="12240" w:h="15840"/>
      <w:pgMar w:top="1444" w:right="1466" w:bottom="721" w:left="1440" w:header="720" w:footer="99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8438E" w:rsidRDefault="0018438E">
      <w:pPr>
        <w:spacing w:after="0" w:line="240" w:lineRule="auto"/>
      </w:pPr>
      <w:r>
        <w:separator/>
      </w:r>
    </w:p>
  </w:endnote>
  <w:endnote w:type="continuationSeparator" w:id="0">
    <w:p w:rsidR="0018438E" w:rsidRDefault="001843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620E" w:rsidRDefault="0018438E">
    <w:pPr>
      <w:spacing w:after="0" w:line="259" w:lineRule="auto"/>
      <w:ind w:left="29" w:firstLine="0"/>
      <w:jc w:val="center"/>
    </w:pPr>
    <w:r>
      <w:rPr>
        <w:rFonts w:ascii="Calibri" w:eastAsia="Calibri" w:hAnsi="Calibri" w:cs="Calibri"/>
        <w:sz w:val="22"/>
      </w:rPr>
      <w:fldChar w:fldCharType="begin"/>
    </w:r>
    <w:r>
      <w:rPr>
        <w:rFonts w:ascii="Calibri" w:eastAsia="Calibri" w:hAnsi="Calibri" w:cs="Calibri"/>
        <w:sz w:val="22"/>
      </w:rPr>
      <w:instrText xml:space="preserve"> PAGE   \* MERGEFORMAT </w:instrText>
    </w:r>
    <w:r>
      <w:rPr>
        <w:rFonts w:ascii="Calibri" w:eastAsia="Calibri" w:hAnsi="Calibri" w:cs="Calibri"/>
        <w:sz w:val="22"/>
      </w:rPr>
      <w:fldChar w:fldCharType="separate"/>
    </w:r>
    <w:r>
      <w:rPr>
        <w:rFonts w:ascii="Calibri" w:eastAsia="Calibri" w:hAnsi="Calibri" w:cs="Calibri"/>
        <w:sz w:val="22"/>
      </w:rPr>
      <w:t>1</w:t>
    </w:r>
    <w:r>
      <w:rPr>
        <w:rFonts w:ascii="Calibri" w:eastAsia="Calibri" w:hAnsi="Calibri" w:cs="Calibri"/>
        <w:sz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620E" w:rsidRDefault="0018438E">
    <w:pPr>
      <w:spacing w:after="0" w:line="259" w:lineRule="auto"/>
      <w:ind w:left="29" w:firstLine="0"/>
      <w:jc w:val="center"/>
    </w:pPr>
    <w:r>
      <w:rPr>
        <w:rFonts w:ascii="Calibri" w:eastAsia="Calibri" w:hAnsi="Calibri" w:cs="Calibri"/>
        <w:sz w:val="22"/>
      </w:rPr>
      <w:fldChar w:fldCharType="begin"/>
    </w:r>
    <w:r>
      <w:rPr>
        <w:rFonts w:ascii="Calibri" w:eastAsia="Calibri" w:hAnsi="Calibri" w:cs="Calibri"/>
        <w:sz w:val="22"/>
      </w:rPr>
      <w:instrText xml:space="preserve"> PAGE   \* MERGEFORMAT </w:instrText>
    </w:r>
    <w:r>
      <w:rPr>
        <w:rFonts w:ascii="Calibri" w:eastAsia="Calibri" w:hAnsi="Calibri" w:cs="Calibri"/>
        <w:sz w:val="22"/>
      </w:rPr>
      <w:fldChar w:fldCharType="separate"/>
    </w:r>
    <w:r>
      <w:rPr>
        <w:rFonts w:ascii="Calibri" w:eastAsia="Calibri" w:hAnsi="Calibri" w:cs="Calibri"/>
        <w:sz w:val="22"/>
      </w:rPr>
      <w:t>1</w:t>
    </w:r>
    <w:r>
      <w:rPr>
        <w:rFonts w:ascii="Calibri" w:eastAsia="Calibri" w:hAnsi="Calibri" w:cs="Calibri"/>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620E" w:rsidRDefault="0018438E">
    <w:pPr>
      <w:spacing w:after="0" w:line="259" w:lineRule="auto"/>
      <w:ind w:left="29" w:firstLine="0"/>
      <w:jc w:val="center"/>
    </w:pPr>
    <w:r>
      <w:rPr>
        <w:rFonts w:ascii="Calibri" w:eastAsia="Calibri" w:hAnsi="Calibri" w:cs="Calibri"/>
        <w:sz w:val="22"/>
      </w:rPr>
      <w:fldChar w:fldCharType="begin"/>
    </w:r>
    <w:r>
      <w:rPr>
        <w:rFonts w:ascii="Calibri" w:eastAsia="Calibri" w:hAnsi="Calibri" w:cs="Calibri"/>
        <w:sz w:val="22"/>
      </w:rPr>
      <w:instrText xml:space="preserve"> PAGE   \* MERGEFORMAT </w:instrText>
    </w:r>
    <w:r>
      <w:rPr>
        <w:rFonts w:ascii="Calibri" w:eastAsia="Calibri" w:hAnsi="Calibri" w:cs="Calibri"/>
        <w:sz w:val="22"/>
      </w:rPr>
      <w:fldChar w:fldCharType="separate"/>
    </w:r>
    <w:r>
      <w:rPr>
        <w:rFonts w:ascii="Calibri" w:eastAsia="Calibri" w:hAnsi="Calibri" w:cs="Calibri"/>
        <w:sz w:val="22"/>
      </w:rPr>
      <w:t>1</w:t>
    </w:r>
    <w:r>
      <w:rPr>
        <w:rFonts w:ascii="Calibri" w:eastAsia="Calibri" w:hAnsi="Calibri" w:cs="Calibri"/>
        <w:sz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8438E" w:rsidRDefault="0018438E">
      <w:pPr>
        <w:spacing w:after="0" w:line="240" w:lineRule="auto"/>
      </w:pPr>
      <w:r>
        <w:separator/>
      </w:r>
    </w:p>
  </w:footnote>
  <w:footnote w:type="continuationSeparator" w:id="0">
    <w:p w:rsidR="0018438E" w:rsidRDefault="0018438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0621700"/>
    <w:multiLevelType w:val="hybridMultilevel"/>
    <w:tmpl w:val="162863BE"/>
    <w:lvl w:ilvl="0" w:tplc="CA9650D0">
      <w:start w:val="1"/>
      <w:numFmt w:val="decimal"/>
      <w:lvlText w:val="%1."/>
      <w:lvlJc w:val="left"/>
      <w:pPr>
        <w:ind w:left="7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AAAB548">
      <w:start w:val="1"/>
      <w:numFmt w:val="lowerLetter"/>
      <w:lvlText w:val="%2."/>
      <w:lvlJc w:val="left"/>
      <w:pPr>
        <w:ind w:left="1440"/>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2" w:tplc="F9967C5C">
      <w:start w:val="1"/>
      <w:numFmt w:val="lowerRoman"/>
      <w:lvlText w:val="%3"/>
      <w:lvlJc w:val="left"/>
      <w:pPr>
        <w:ind w:left="2160"/>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3" w:tplc="7D6C1CB6">
      <w:start w:val="1"/>
      <w:numFmt w:val="decimal"/>
      <w:lvlText w:val="%4"/>
      <w:lvlJc w:val="left"/>
      <w:pPr>
        <w:ind w:left="2880"/>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4" w:tplc="D37CC4F6">
      <w:start w:val="1"/>
      <w:numFmt w:val="lowerLetter"/>
      <w:lvlText w:val="%5"/>
      <w:lvlJc w:val="left"/>
      <w:pPr>
        <w:ind w:left="3600"/>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5" w:tplc="8F6A4A70">
      <w:start w:val="1"/>
      <w:numFmt w:val="lowerRoman"/>
      <w:lvlText w:val="%6"/>
      <w:lvlJc w:val="left"/>
      <w:pPr>
        <w:ind w:left="4320"/>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6" w:tplc="2E2A6102">
      <w:start w:val="1"/>
      <w:numFmt w:val="decimal"/>
      <w:lvlText w:val="%7"/>
      <w:lvlJc w:val="left"/>
      <w:pPr>
        <w:ind w:left="5040"/>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7" w:tplc="F31866A4">
      <w:start w:val="1"/>
      <w:numFmt w:val="lowerLetter"/>
      <w:lvlText w:val="%8"/>
      <w:lvlJc w:val="left"/>
      <w:pPr>
        <w:ind w:left="5760"/>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8" w:tplc="16169FC6">
      <w:start w:val="1"/>
      <w:numFmt w:val="lowerRoman"/>
      <w:lvlText w:val="%9"/>
      <w:lvlJc w:val="left"/>
      <w:pPr>
        <w:ind w:left="6480"/>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7"/>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620E"/>
    <w:rsid w:val="0018438E"/>
    <w:rsid w:val="009B620E"/>
    <w:rsid w:val="00EE7B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9A7031"/>
  <w15:docId w15:val="{C10281F9-576B-49A3-A2A0-860A696C28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150" w:line="266" w:lineRule="auto"/>
      <w:ind w:left="10" w:hanging="10"/>
    </w:pPr>
    <w:rPr>
      <w:rFonts w:ascii="Times New Roman" w:eastAsia="Times New Roman" w:hAnsi="Times New Roman" w:cs="Times New Roman"/>
      <w:color w:val="000000"/>
      <w:sz w:val="28"/>
    </w:rPr>
  </w:style>
  <w:style w:type="paragraph" w:styleId="Heading1">
    <w:name w:val="heading 1"/>
    <w:next w:val="Normal"/>
    <w:link w:val="Heading1Char"/>
    <w:uiPriority w:val="9"/>
    <w:qFormat/>
    <w:pPr>
      <w:keepNext/>
      <w:keepLines/>
      <w:spacing w:after="113"/>
      <w:ind w:left="10" w:hanging="10"/>
      <w:outlineLvl w:val="0"/>
    </w:pPr>
    <w:rPr>
      <w:rFonts w:ascii="Times New Roman" w:eastAsia="Times New Roman" w:hAnsi="Times New Roman" w:cs="Times New Roman"/>
      <w:b/>
      <w:color w:val="000000"/>
      <w:sz w:val="32"/>
    </w:rPr>
  </w:style>
  <w:style w:type="paragraph" w:styleId="Heading2">
    <w:name w:val="heading 2"/>
    <w:next w:val="Normal"/>
    <w:link w:val="Heading2Char"/>
    <w:uiPriority w:val="9"/>
    <w:unhideWhenUsed/>
    <w:qFormat/>
    <w:pPr>
      <w:keepNext/>
      <w:keepLines/>
      <w:spacing w:after="147" w:line="265" w:lineRule="auto"/>
      <w:ind w:left="10" w:hanging="10"/>
      <w:outlineLvl w:val="1"/>
    </w:pPr>
    <w:rPr>
      <w:rFonts w:ascii="Times New Roman" w:eastAsia="Times New Roman" w:hAnsi="Times New Roman" w:cs="Times New Roman"/>
      <w:b/>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Times New Roman" w:eastAsia="Times New Roman" w:hAnsi="Times New Roman" w:cs="Times New Roman"/>
      <w:b/>
      <w:color w:val="000000"/>
      <w:sz w:val="28"/>
    </w:rPr>
  </w:style>
  <w:style w:type="character" w:customStyle="1" w:styleId="Heading1Char">
    <w:name w:val="Heading 1 Char"/>
    <w:link w:val="Heading1"/>
    <w:rPr>
      <w:rFonts w:ascii="Times New Roman" w:eastAsia="Times New Roman" w:hAnsi="Times New Roman" w:cs="Times New Roman"/>
      <w:b/>
      <w:color w:val="000000"/>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334</Words>
  <Characters>1909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Nazreen</dc:creator>
  <cp:keywords/>
  <cp:lastModifiedBy>faiza hamlani</cp:lastModifiedBy>
  <cp:revision>2</cp:revision>
  <dcterms:created xsi:type="dcterms:W3CDTF">2019-02-02T00:33:00Z</dcterms:created>
  <dcterms:modified xsi:type="dcterms:W3CDTF">2019-02-02T00:33:00Z</dcterms:modified>
</cp:coreProperties>
</file>