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sz w:val="24"/>
          <w:szCs w:val="24"/>
        </w:rPr>
      </w:pPr>
    </w:p>
    <w:p w:rsidR="00F07130" w:rsidRPr="00F07130" w:rsidRDefault="00F07130" w:rsidP="00F07130">
      <w:pPr>
        <w:spacing w:after="0" w:line="480" w:lineRule="auto"/>
        <w:jc w:val="center"/>
        <w:rPr>
          <w:rFonts w:ascii="Times New Roman" w:hAnsi="Times New Roman" w:cs="Times New Roman"/>
          <w:sz w:val="24"/>
          <w:szCs w:val="24"/>
        </w:rPr>
      </w:pPr>
      <w:r w:rsidRPr="00F07130">
        <w:rPr>
          <w:rFonts w:ascii="Times New Roman" w:hAnsi="Times New Roman" w:cs="Times New Roman"/>
          <w:color w:val="1B1B1B"/>
          <w:sz w:val="24"/>
          <w:szCs w:val="24"/>
          <w:shd w:val="clear" w:color="auto" w:fill="FFFFFF"/>
        </w:rPr>
        <w:t>Assess the Effectiveness of SOX Legislation</w:t>
      </w:r>
      <w:r w:rsidRPr="00F07130">
        <w:rPr>
          <w:rFonts w:ascii="Times New Roman" w:hAnsi="Times New Roman" w:cs="Times New Roman"/>
          <w:sz w:val="24"/>
          <w:szCs w:val="24"/>
        </w:rPr>
        <w:t xml:space="preserve"> </w:t>
      </w:r>
    </w:p>
    <w:p w:rsidR="00F07130" w:rsidRDefault="001D2385" w:rsidP="00F07130">
      <w:pPr>
        <w:spacing w:after="0" w:line="480" w:lineRule="auto"/>
        <w:jc w:val="center"/>
        <w:rPr>
          <w:rFonts w:ascii="Times New Roman" w:hAnsi="Times New Roman" w:cs="Times New Roman"/>
          <w:sz w:val="24"/>
          <w:szCs w:val="24"/>
        </w:rPr>
      </w:pPr>
      <w:r w:rsidRPr="00F07130">
        <w:rPr>
          <w:rFonts w:ascii="Times New Roman" w:hAnsi="Times New Roman" w:cs="Times New Roman"/>
          <w:sz w:val="24"/>
          <w:szCs w:val="24"/>
        </w:rPr>
        <w:t xml:space="preserve">Name </w:t>
      </w:r>
    </w:p>
    <w:p w:rsidR="001D2385" w:rsidRPr="00F07130" w:rsidRDefault="00F07130" w:rsidP="00F0713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07130" w:rsidRPr="00F07130" w:rsidRDefault="00F07130" w:rsidP="00F07130">
      <w:pPr>
        <w:spacing w:after="0" w:line="480" w:lineRule="auto"/>
        <w:jc w:val="center"/>
        <w:rPr>
          <w:rFonts w:ascii="Times New Roman" w:hAnsi="Times New Roman" w:cs="Times New Roman"/>
          <w:sz w:val="24"/>
          <w:szCs w:val="24"/>
        </w:rPr>
      </w:pPr>
      <w:r w:rsidRPr="00F07130">
        <w:rPr>
          <w:rFonts w:ascii="Times New Roman" w:hAnsi="Times New Roman" w:cs="Times New Roman"/>
          <w:sz w:val="24"/>
          <w:szCs w:val="24"/>
        </w:rPr>
        <w:t>Course</w:t>
      </w:r>
    </w:p>
    <w:p w:rsidR="00F07130" w:rsidRPr="00F07130" w:rsidRDefault="00F07130" w:rsidP="00F07130">
      <w:pPr>
        <w:spacing w:after="0" w:line="480" w:lineRule="auto"/>
        <w:jc w:val="center"/>
        <w:rPr>
          <w:rFonts w:ascii="Times New Roman" w:hAnsi="Times New Roman" w:cs="Times New Roman"/>
          <w:sz w:val="24"/>
          <w:szCs w:val="24"/>
        </w:rPr>
      </w:pPr>
      <w:r w:rsidRPr="00F07130">
        <w:rPr>
          <w:rFonts w:ascii="Times New Roman" w:hAnsi="Times New Roman" w:cs="Times New Roman"/>
          <w:sz w:val="24"/>
          <w:szCs w:val="24"/>
        </w:rPr>
        <w:t>Date</w:t>
      </w:r>
    </w:p>
    <w:p w:rsidR="00F07130" w:rsidRPr="00F07130" w:rsidRDefault="00F07130" w:rsidP="00F07130">
      <w:pPr>
        <w:spacing w:after="0" w:line="480" w:lineRule="auto"/>
        <w:jc w:val="center"/>
        <w:rPr>
          <w:rFonts w:ascii="Times New Roman" w:hAnsi="Times New Roman" w:cs="Times New Roman"/>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p>
    <w:p w:rsidR="001D2385" w:rsidRPr="00F07130" w:rsidRDefault="001D2385" w:rsidP="00F07130">
      <w:pPr>
        <w:spacing w:after="0" w:line="480" w:lineRule="auto"/>
        <w:rPr>
          <w:rFonts w:ascii="Times New Roman" w:hAnsi="Times New Roman" w:cs="Times New Roman"/>
          <w:b/>
          <w:sz w:val="24"/>
          <w:szCs w:val="24"/>
        </w:rPr>
      </w:pPr>
    </w:p>
    <w:p w:rsidR="001D2385" w:rsidRPr="00F07130" w:rsidRDefault="001D2385" w:rsidP="00F07130">
      <w:pPr>
        <w:spacing w:after="0" w:line="480" w:lineRule="auto"/>
        <w:jc w:val="center"/>
        <w:rPr>
          <w:rFonts w:ascii="Times New Roman" w:hAnsi="Times New Roman" w:cs="Times New Roman"/>
          <w:b/>
          <w:sz w:val="24"/>
          <w:szCs w:val="24"/>
        </w:rPr>
      </w:pPr>
      <w:r w:rsidRPr="00F07130">
        <w:rPr>
          <w:rFonts w:ascii="Times New Roman" w:hAnsi="Times New Roman" w:cs="Times New Roman"/>
          <w:b/>
          <w:sz w:val="24"/>
          <w:szCs w:val="24"/>
        </w:rPr>
        <w:lastRenderedPageBreak/>
        <w:t>Sarbanes-Oxley Act</w:t>
      </w:r>
    </w:p>
    <w:p w:rsidR="001D2385"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The American security exchange is one of the significant contributors to the gross domestic product of the nation. Annually the sector caters for over 10.6 percent of the entire budget and this has increased the trading index of the country. The volume of shares in the trade and the strength of the brands in play is what at</w:t>
      </w:r>
      <w:r w:rsidR="004F1232">
        <w:rPr>
          <w:rFonts w:ascii="Times New Roman" w:hAnsi="Times New Roman" w:cs="Times New Roman"/>
          <w:sz w:val="24"/>
          <w:szCs w:val="24"/>
        </w:rPr>
        <w:t>tracts investors in the economy</w:t>
      </w:r>
      <w:r w:rsidR="00C50A38" w:rsidRPr="00F07130">
        <w:rPr>
          <w:rFonts w:ascii="Times New Roman" w:hAnsi="Times New Roman" w:cs="Times New Roman"/>
          <w:sz w:val="24"/>
          <w:szCs w:val="24"/>
        </w:rPr>
        <w:t xml:space="preserve"> </w:t>
      </w:r>
      <w:r w:rsidR="004F1232">
        <w:rPr>
          <w:rFonts w:ascii="Times New Roman" w:hAnsi="Times New Roman" w:cs="Times New Roman"/>
          <w:sz w:val="24"/>
          <w:szCs w:val="24"/>
        </w:rPr>
        <w:t xml:space="preserve">as well as </w:t>
      </w:r>
      <w:r w:rsidR="00C50A38" w:rsidRPr="00F07130">
        <w:rPr>
          <w:rFonts w:ascii="Times New Roman" w:hAnsi="Times New Roman" w:cs="Times New Roman"/>
          <w:sz w:val="24"/>
          <w:szCs w:val="24"/>
        </w:rPr>
        <w:t>a noble act that stimulates job creation and spending of the population. For any sector to develop there has to be the element of transparency, equity, and accountability. In business, these are the underlying factors to growth because they instill a sense of trust in the stakeholders, customers, prospects and even competitors. For the playing field to get even the companies must get assessed by an impartial body that abides by the set rules and regulation and is relentless and fair in unveiling the mischievous undertakings. During the advent of the 21st century, America got rocked with business scandals that tarnished the name of the federal systems that got entitled to ensuring that the business practices were fair across the board</w:t>
      </w:r>
      <w:r w:rsidRPr="00F07130">
        <w:rPr>
          <w:rFonts w:ascii="Times New Roman" w:hAnsi="Times New Roman" w:cs="Times New Roman"/>
          <w:sz w:val="24"/>
          <w:szCs w:val="24"/>
        </w:rPr>
        <w:t xml:space="preserve"> (</w:t>
      </w:r>
      <w:proofErr w:type="gramStart"/>
      <w:r w:rsidRPr="00F07130">
        <w:rPr>
          <w:rFonts w:ascii="Times New Roman" w:hAnsi="Times New Roman" w:cs="Times New Roman"/>
          <w:sz w:val="24"/>
          <w:szCs w:val="24"/>
        </w:rPr>
        <w:t>Gao</w:t>
      </w:r>
      <w:proofErr w:type="gramEnd"/>
      <w:r w:rsidRPr="00F07130">
        <w:rPr>
          <w:rFonts w:ascii="Times New Roman" w:hAnsi="Times New Roman" w:cs="Times New Roman"/>
          <w:sz w:val="24"/>
          <w:szCs w:val="24"/>
        </w:rPr>
        <w:t xml:space="preserve"> &amp; Zhang, 2019)</w:t>
      </w:r>
      <w:r w:rsidR="00C50A38" w:rsidRPr="00F07130">
        <w:rPr>
          <w:rFonts w:ascii="Times New Roman" w:hAnsi="Times New Roman" w:cs="Times New Roman"/>
          <w:sz w:val="24"/>
          <w:szCs w:val="24"/>
        </w:rPr>
        <w:t xml:space="preserve">. Most of the cases were among the companies that traded in the securities exchange. </w:t>
      </w:r>
    </w:p>
    <w:p w:rsidR="00C50A38"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 xml:space="preserve">A good number of chief executive officers and chief financial officers participated in fraudulent practices of cooking audit reports and showing the investors and stakeholders that the financials were healthy and their firms were worth investing. In cases of bankruptcy, the named officials failed to file the claims and publish the information then the investments of foreign and domestic partners went sour. Michael Oxley who was the representative of Ohio and Paul Sarbanes who was the senator of Detroit were the main sponsors of the bill, and the severity of the matter motivated the two legislative houses to accept it. George Bush who was the president signed the bill into law on July 30th, 2002, and it has been in effect to date. </w:t>
      </w:r>
    </w:p>
    <w:p w:rsidR="00C50A38" w:rsidRPr="00F07130" w:rsidRDefault="00C50A38" w:rsidP="00F07130">
      <w:pPr>
        <w:spacing w:after="0" w:line="480" w:lineRule="auto"/>
        <w:rPr>
          <w:rFonts w:ascii="Times New Roman" w:hAnsi="Times New Roman" w:cs="Times New Roman"/>
          <w:b/>
          <w:sz w:val="24"/>
          <w:szCs w:val="24"/>
        </w:rPr>
      </w:pPr>
      <w:r w:rsidRPr="00F07130">
        <w:rPr>
          <w:rFonts w:ascii="Times New Roman" w:hAnsi="Times New Roman" w:cs="Times New Roman"/>
          <w:b/>
          <w:sz w:val="24"/>
          <w:szCs w:val="24"/>
        </w:rPr>
        <w:t>Ethics</w:t>
      </w:r>
    </w:p>
    <w:p w:rsidR="001D2385"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lastRenderedPageBreak/>
        <w:tab/>
      </w:r>
      <w:r w:rsidR="00C50A38" w:rsidRPr="00F07130">
        <w:rPr>
          <w:rFonts w:ascii="Times New Roman" w:hAnsi="Times New Roman" w:cs="Times New Roman"/>
          <w:sz w:val="24"/>
          <w:szCs w:val="24"/>
        </w:rPr>
        <w:t xml:space="preserve">The Securities and Exchange Commission is the body mandated to oversee the execution and compliance of the law. The broad law </w:t>
      </w:r>
      <w:r w:rsidR="004F1232">
        <w:rPr>
          <w:rFonts w:ascii="Times New Roman" w:hAnsi="Times New Roman" w:cs="Times New Roman"/>
          <w:sz w:val="24"/>
          <w:szCs w:val="24"/>
        </w:rPr>
        <w:t>i</w:t>
      </w:r>
      <w:r w:rsidR="00C50A38" w:rsidRPr="00F07130">
        <w:rPr>
          <w:rFonts w:ascii="Times New Roman" w:hAnsi="Times New Roman" w:cs="Times New Roman"/>
          <w:sz w:val="24"/>
          <w:szCs w:val="24"/>
        </w:rPr>
        <w:t>s divided into two sections; section 302 that deals with the corporate responsibility for financial recor</w:t>
      </w:r>
      <w:bookmarkStart w:id="0" w:name="_GoBack"/>
      <w:bookmarkEnd w:id="0"/>
      <w:r w:rsidR="00C50A38" w:rsidRPr="00F07130">
        <w:rPr>
          <w:rFonts w:ascii="Times New Roman" w:hAnsi="Times New Roman" w:cs="Times New Roman"/>
          <w:sz w:val="24"/>
          <w:szCs w:val="24"/>
        </w:rPr>
        <w:t xml:space="preserve">ds and section 404 that pertains the internal controls and management of assessment. Just like any other laws in the constitution, the SOX law entails a series of rules and regulations and the penalties that the culprits face when they get implicated of the stated business and financial crimes. Before the initiation and consent of the bill, it got discovered that the two people in an organization that have unrestricted access to financial documents and have the authority to alter them are the chief executive officers and the chief financial officers of a specific company. This discovery is what led the law to hinge the blame on the two officials in case the company is discovered to have unveiled fraudulent financial statistics to its shareholders and investors. </w:t>
      </w:r>
    </w:p>
    <w:p w:rsidR="00C50A38"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Diversifying accountability is the general idea behind the tying of the two officials in financial crimes of any and every company. In the case that the two fail to notice that there is a fraudulent change in financial outlays, then they will be incompetent, and they will still serve a punishment. Each company can have an enforcement and accountability system, but it must abide by the underlying regulations of the SOX law. Another chapter of the act deals with the issues about whistleblowing on financial fraudulence. In the case that somebody in a company raises the alarm of fraudulence the law protects the individual or set of individuals from job dismissal, suspension, criminalization or contract termination</w:t>
      </w:r>
      <w:r w:rsidRPr="00F07130">
        <w:rPr>
          <w:rFonts w:ascii="Times New Roman" w:hAnsi="Times New Roman" w:cs="Times New Roman"/>
          <w:sz w:val="24"/>
          <w:szCs w:val="24"/>
        </w:rPr>
        <w:t xml:space="preserve"> (</w:t>
      </w:r>
      <w:proofErr w:type="spellStart"/>
      <w:r w:rsidRPr="00F07130">
        <w:rPr>
          <w:rFonts w:ascii="Times New Roman" w:hAnsi="Times New Roman" w:cs="Times New Roman"/>
          <w:sz w:val="24"/>
          <w:szCs w:val="24"/>
        </w:rPr>
        <w:t>Dworkin</w:t>
      </w:r>
      <w:proofErr w:type="spellEnd"/>
      <w:r w:rsidRPr="00F07130">
        <w:rPr>
          <w:rFonts w:ascii="Times New Roman" w:hAnsi="Times New Roman" w:cs="Times New Roman"/>
          <w:sz w:val="24"/>
          <w:szCs w:val="24"/>
        </w:rPr>
        <w:t>, 2006)</w:t>
      </w:r>
      <w:r w:rsidR="00C50A38" w:rsidRPr="00F07130">
        <w:rPr>
          <w:rFonts w:ascii="Times New Roman" w:hAnsi="Times New Roman" w:cs="Times New Roman"/>
          <w:sz w:val="24"/>
          <w:szCs w:val="24"/>
        </w:rPr>
        <w:t xml:space="preserve">. This measure has solidified the essence of the law and ensured that all the companies registered through the Public Company Accounting Oversight Board (PCAOB) abide by the law. There is also the rule that a company must invite certified external auditors to assess the financial position of any listed </w:t>
      </w:r>
      <w:r w:rsidR="00C50A38" w:rsidRPr="00F07130">
        <w:rPr>
          <w:rFonts w:ascii="Times New Roman" w:hAnsi="Times New Roman" w:cs="Times New Roman"/>
          <w:sz w:val="24"/>
          <w:szCs w:val="24"/>
        </w:rPr>
        <w:lastRenderedPageBreak/>
        <w:t xml:space="preserve">company every year and rotate the auditor on a five-year term. The two are the most critical ethics entailed in the SOX law. </w:t>
      </w:r>
    </w:p>
    <w:p w:rsidR="00C50A38" w:rsidRPr="00F07130" w:rsidRDefault="00C50A38" w:rsidP="00F07130">
      <w:pPr>
        <w:spacing w:after="0" w:line="480" w:lineRule="auto"/>
        <w:rPr>
          <w:rFonts w:ascii="Times New Roman" w:hAnsi="Times New Roman" w:cs="Times New Roman"/>
          <w:b/>
          <w:sz w:val="24"/>
          <w:szCs w:val="24"/>
        </w:rPr>
      </w:pPr>
      <w:r w:rsidRPr="00F07130">
        <w:rPr>
          <w:rFonts w:ascii="Times New Roman" w:hAnsi="Times New Roman" w:cs="Times New Roman"/>
          <w:b/>
          <w:sz w:val="24"/>
          <w:szCs w:val="24"/>
        </w:rPr>
        <w:t>Loopholes of SOX</w:t>
      </w:r>
    </w:p>
    <w:p w:rsidR="00C50A38"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The creation of the bill and its passage into law significantly reduced the number of fraudulence in the business sector and trust between the company owners, stakeholders and investors got substantially restored. Investments made were based on a sure foundation, and thus the profit and imminent loses could be predicted and controlled. Most CEO's and CFO's of companies that had participated in financial crimes got heavily fined and sentenced, and this served as a lesson to the industry players. However, the regulations did not wholly halt fraudulent practices, but rather it diversified the crime and sophisticated the means to which it got perpetrated</w:t>
      </w:r>
      <w:r w:rsidRPr="00F07130">
        <w:rPr>
          <w:rFonts w:ascii="Times New Roman" w:hAnsi="Times New Roman" w:cs="Times New Roman"/>
          <w:sz w:val="24"/>
          <w:szCs w:val="24"/>
        </w:rPr>
        <w:t xml:space="preserve"> (Archer, 2016)</w:t>
      </w:r>
      <w:r w:rsidR="00C50A38" w:rsidRPr="00F07130">
        <w:rPr>
          <w:rFonts w:ascii="Times New Roman" w:hAnsi="Times New Roman" w:cs="Times New Roman"/>
          <w:sz w:val="24"/>
          <w:szCs w:val="24"/>
        </w:rPr>
        <w:t xml:space="preserve">. One of the significant loopholes is the role of the outsourced auditors and the presumption of their independence when acting professionally. In the same case, the auditor can prove the firm's case and advise the firm on ways to increase their financial outlook by unveiling or hiding certain financial information. In most cases, fraudulent practices continue because of the cooperation between auditors and company owners.  CEO's and CFO's may be unaware of the act yet they are the ones pressured to ensure that all the set processes are abided. </w:t>
      </w:r>
    </w:p>
    <w:p w:rsidR="00C50A38" w:rsidRPr="00F07130" w:rsidRDefault="00C50A38" w:rsidP="00F07130">
      <w:pPr>
        <w:spacing w:after="0" w:line="480" w:lineRule="auto"/>
        <w:rPr>
          <w:rFonts w:ascii="Times New Roman" w:hAnsi="Times New Roman" w:cs="Times New Roman"/>
          <w:b/>
          <w:sz w:val="24"/>
          <w:szCs w:val="24"/>
        </w:rPr>
      </w:pPr>
      <w:r w:rsidRPr="00F07130">
        <w:rPr>
          <w:rFonts w:ascii="Times New Roman" w:hAnsi="Times New Roman" w:cs="Times New Roman"/>
          <w:b/>
          <w:sz w:val="24"/>
          <w:szCs w:val="24"/>
        </w:rPr>
        <w:t xml:space="preserve">Potential </w:t>
      </w:r>
      <w:r w:rsidR="001D2385" w:rsidRPr="00F07130">
        <w:rPr>
          <w:rFonts w:ascii="Times New Roman" w:hAnsi="Times New Roman" w:cs="Times New Roman"/>
          <w:b/>
          <w:sz w:val="24"/>
          <w:szCs w:val="24"/>
        </w:rPr>
        <w:t>Improvement</w:t>
      </w:r>
    </w:p>
    <w:p w:rsidR="001D2385"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 xml:space="preserve">Critics of the law since its inception state that the code is too strict and it demotivates foreign and domestic investment. The significant improvement that can get done on the bill is nailing the culprits that participate in the fraud. Currently, the law burdens the chief executive officers and chief financial officers with the main of ensuring that the economic statistics are accurate. In large companies this task is daunting, and the expansiveness opens room for error. </w:t>
      </w:r>
      <w:r w:rsidR="00C50A38" w:rsidRPr="00F07130">
        <w:rPr>
          <w:rFonts w:ascii="Times New Roman" w:hAnsi="Times New Roman" w:cs="Times New Roman"/>
          <w:sz w:val="24"/>
          <w:szCs w:val="24"/>
        </w:rPr>
        <w:lastRenderedPageBreak/>
        <w:t xml:space="preserve">While there may be some officials that intentionally fix the financial statistics there is also a high chance of some officials unintentionally letting the information pass to the public. </w:t>
      </w:r>
    </w:p>
    <w:p w:rsidR="00C50A38"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Apart from stressing on punishment, the law should create an investigative unit that searches for the cause of the problem rather than letting the two officials prove that they were not part of the fraud. If this case shifts then part of the question should be placed on the audit officials because they are the direct link between the company and the security and exchange commission. Auditors should act as umpires and not assume administrative roles. The law should get fixed in a manner that the auditors only report back to the commission and not intently advice the companies they are investigating. Some of the other demerits of the law are that it guides auditors in assessing and validating the information systems of financial statistics rather than the processes and testing the actual flow of the costs. This reason is part of the hindrance towards a transparent and informative auditing process.</w:t>
      </w:r>
    </w:p>
    <w:p w:rsidR="00C50A38" w:rsidRPr="00F07130" w:rsidRDefault="00C50A38" w:rsidP="00F07130">
      <w:pPr>
        <w:spacing w:after="0" w:line="480" w:lineRule="auto"/>
        <w:rPr>
          <w:rFonts w:ascii="Times New Roman" w:hAnsi="Times New Roman" w:cs="Times New Roman"/>
          <w:b/>
          <w:sz w:val="24"/>
          <w:szCs w:val="24"/>
        </w:rPr>
      </w:pPr>
      <w:r w:rsidRPr="00F07130">
        <w:rPr>
          <w:rFonts w:ascii="Times New Roman" w:hAnsi="Times New Roman" w:cs="Times New Roman"/>
          <w:b/>
          <w:sz w:val="24"/>
          <w:szCs w:val="24"/>
        </w:rPr>
        <w:t xml:space="preserve">Recommended </w:t>
      </w:r>
      <w:r w:rsidR="001D2385" w:rsidRPr="00F07130">
        <w:rPr>
          <w:rFonts w:ascii="Times New Roman" w:hAnsi="Times New Roman" w:cs="Times New Roman"/>
          <w:b/>
          <w:sz w:val="24"/>
          <w:szCs w:val="24"/>
        </w:rPr>
        <w:t>Measures</w:t>
      </w:r>
    </w:p>
    <w:p w:rsidR="001D2385"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The world is significantly becoming digitized, and new companies are riding on the wave to ensure that they are visible to their target markets, stakeholders and investors. Most of the information about any company can get sourced online, and this has dramatically increased the efficiency of accounting officers deployed to a company and the internal systems that are used to churn data and information. Security has significantly become a concerning issue, and all companies are factoring in the protection variable in the financial analysis. Without security then almost all financial audit processes are futile because the information leaves a manipulation window for third parties. In the case of pinning down the principal administrators; who in this case are the chief executive officers and chief financial officers, the situation may lack merit on the fact that the information got manipulated when it was past the approval stage</w:t>
      </w:r>
      <w:r w:rsidRPr="00F07130">
        <w:rPr>
          <w:rFonts w:ascii="Times New Roman" w:hAnsi="Times New Roman" w:cs="Times New Roman"/>
          <w:sz w:val="24"/>
          <w:szCs w:val="24"/>
        </w:rPr>
        <w:t xml:space="preserve"> (Fan, Li &amp; </w:t>
      </w:r>
      <w:proofErr w:type="spellStart"/>
      <w:r w:rsidRPr="00F07130">
        <w:rPr>
          <w:rFonts w:ascii="Times New Roman" w:hAnsi="Times New Roman" w:cs="Times New Roman"/>
          <w:sz w:val="24"/>
          <w:szCs w:val="24"/>
        </w:rPr>
        <w:lastRenderedPageBreak/>
        <w:t>Raghunandan</w:t>
      </w:r>
      <w:proofErr w:type="spellEnd"/>
      <w:r w:rsidRPr="00F07130">
        <w:rPr>
          <w:rFonts w:ascii="Times New Roman" w:hAnsi="Times New Roman" w:cs="Times New Roman"/>
          <w:sz w:val="24"/>
          <w:szCs w:val="24"/>
        </w:rPr>
        <w:t>, 2017)</w:t>
      </w:r>
      <w:r w:rsidR="00C50A38" w:rsidRPr="00F07130">
        <w:rPr>
          <w:rFonts w:ascii="Times New Roman" w:hAnsi="Times New Roman" w:cs="Times New Roman"/>
          <w:sz w:val="24"/>
          <w:szCs w:val="24"/>
        </w:rPr>
        <w:t>. Technology has dramatically changed since the law got created, but it is high time that adjustments get done on the entire auditing system. Many technology companies have developed security measures and software that ensure that any data is well analyzed, transmitted and stored whenever a need arises.</w:t>
      </w:r>
    </w:p>
    <w:p w:rsidR="003B308A"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ab/>
      </w:r>
      <w:r w:rsidR="00C50A38" w:rsidRPr="00F07130">
        <w:rPr>
          <w:rFonts w:ascii="Times New Roman" w:hAnsi="Times New Roman" w:cs="Times New Roman"/>
          <w:sz w:val="24"/>
          <w:szCs w:val="24"/>
        </w:rPr>
        <w:t>Just like the security and exchange commission ensured that there were generally applicable principles to the auditing process it must also create a map to secure financial information of companies. Trading activities inject a lot of money into the economy, and it is only fair if all audit firms and companies get subjected to the same level of security and scrutiny. The commission can dictate the type of software to get used in the collection, analysis, verification, and transmission of data. Unison security measures can get suggested and passed with the participation of all the key stakeholders. With these consultative measures then the critics of the law will lack the merit to discredit the achievements that the SOX law has brought to the trading industry.</w:t>
      </w: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1D2385" w:rsidRPr="00F07130" w:rsidRDefault="001D2385" w:rsidP="00F07130">
      <w:pPr>
        <w:spacing w:after="0" w:line="480" w:lineRule="auto"/>
        <w:rPr>
          <w:rFonts w:ascii="Times New Roman" w:hAnsi="Times New Roman" w:cs="Times New Roman"/>
          <w:sz w:val="24"/>
          <w:szCs w:val="24"/>
        </w:rPr>
      </w:pPr>
    </w:p>
    <w:p w:rsidR="00C50A38" w:rsidRPr="00F07130" w:rsidRDefault="00C50A38" w:rsidP="00F07130">
      <w:pPr>
        <w:spacing w:after="0" w:line="480" w:lineRule="auto"/>
        <w:jc w:val="center"/>
        <w:rPr>
          <w:rFonts w:ascii="Times New Roman" w:hAnsi="Times New Roman" w:cs="Times New Roman"/>
          <w:sz w:val="24"/>
          <w:szCs w:val="24"/>
        </w:rPr>
      </w:pPr>
      <w:r w:rsidRPr="00F07130">
        <w:rPr>
          <w:rFonts w:ascii="Times New Roman" w:hAnsi="Times New Roman" w:cs="Times New Roman"/>
          <w:sz w:val="24"/>
          <w:szCs w:val="24"/>
        </w:rPr>
        <w:lastRenderedPageBreak/>
        <w:t>References</w:t>
      </w:r>
    </w:p>
    <w:p w:rsidR="001D2385"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 xml:space="preserve">Archer, J. G. (2016). This Sox: Combating Public Charity Fraud with Sarbanes-Oxley. Miss. LJ, </w:t>
      </w:r>
      <w:r w:rsidRPr="00F07130">
        <w:rPr>
          <w:rFonts w:ascii="Times New Roman" w:hAnsi="Times New Roman" w:cs="Times New Roman"/>
          <w:sz w:val="24"/>
          <w:szCs w:val="24"/>
        </w:rPr>
        <w:tab/>
        <w:t>85, 1395.</w:t>
      </w:r>
    </w:p>
    <w:p w:rsidR="00C50A38" w:rsidRPr="00F07130" w:rsidRDefault="00C50A38" w:rsidP="00F07130">
      <w:pPr>
        <w:spacing w:after="0" w:line="480" w:lineRule="auto"/>
        <w:rPr>
          <w:rFonts w:ascii="Times New Roman" w:hAnsi="Times New Roman" w:cs="Times New Roman"/>
          <w:sz w:val="24"/>
          <w:szCs w:val="24"/>
        </w:rPr>
      </w:pPr>
      <w:proofErr w:type="spellStart"/>
      <w:r w:rsidRPr="00F07130">
        <w:rPr>
          <w:rFonts w:ascii="Times New Roman" w:hAnsi="Times New Roman" w:cs="Times New Roman"/>
          <w:sz w:val="24"/>
          <w:szCs w:val="24"/>
        </w:rPr>
        <w:t>Dworkin</w:t>
      </w:r>
      <w:proofErr w:type="spellEnd"/>
      <w:r w:rsidRPr="00F07130">
        <w:rPr>
          <w:rFonts w:ascii="Times New Roman" w:hAnsi="Times New Roman" w:cs="Times New Roman"/>
          <w:sz w:val="24"/>
          <w:szCs w:val="24"/>
        </w:rPr>
        <w:t>, T. M. (2006). SOX and Whistleblowing. Mich. L. Rev., 105, 1757.</w:t>
      </w:r>
    </w:p>
    <w:p w:rsidR="00C50A38" w:rsidRPr="00F07130" w:rsidRDefault="001D2385" w:rsidP="00F07130">
      <w:pPr>
        <w:spacing w:after="0" w:line="480" w:lineRule="auto"/>
        <w:rPr>
          <w:rFonts w:ascii="Times New Roman" w:hAnsi="Times New Roman" w:cs="Times New Roman"/>
          <w:sz w:val="24"/>
          <w:szCs w:val="24"/>
        </w:rPr>
      </w:pPr>
      <w:r w:rsidRPr="00F07130">
        <w:rPr>
          <w:rFonts w:ascii="Times New Roman" w:hAnsi="Times New Roman" w:cs="Times New Roman"/>
          <w:sz w:val="24"/>
          <w:szCs w:val="24"/>
        </w:rPr>
        <w:t xml:space="preserve">Fan, Y., Li, C., &amp; </w:t>
      </w:r>
      <w:proofErr w:type="spellStart"/>
      <w:r w:rsidRPr="00F07130">
        <w:rPr>
          <w:rFonts w:ascii="Times New Roman" w:hAnsi="Times New Roman" w:cs="Times New Roman"/>
          <w:sz w:val="24"/>
          <w:szCs w:val="24"/>
        </w:rPr>
        <w:t>Raghunandan</w:t>
      </w:r>
      <w:proofErr w:type="spellEnd"/>
      <w:r w:rsidRPr="00F07130">
        <w:rPr>
          <w:rFonts w:ascii="Times New Roman" w:hAnsi="Times New Roman" w:cs="Times New Roman"/>
          <w:sz w:val="24"/>
          <w:szCs w:val="24"/>
        </w:rPr>
        <w:t xml:space="preserve">, K. (2017). Is SOX 404 (a) Management internal control </w:t>
      </w:r>
      <w:r w:rsidRPr="00F07130">
        <w:rPr>
          <w:rFonts w:ascii="Times New Roman" w:hAnsi="Times New Roman" w:cs="Times New Roman"/>
          <w:sz w:val="24"/>
          <w:szCs w:val="24"/>
        </w:rPr>
        <w:tab/>
        <w:t>reporting an effective alternative to SOX 404 (b) internal control audits</w:t>
      </w:r>
      <w:proofErr w:type="gramStart"/>
      <w:r w:rsidRPr="00F07130">
        <w:rPr>
          <w:rFonts w:ascii="Times New Roman" w:hAnsi="Times New Roman" w:cs="Times New Roman"/>
          <w:sz w:val="24"/>
          <w:szCs w:val="24"/>
        </w:rPr>
        <w:t>?.</w:t>
      </w:r>
      <w:proofErr w:type="gramEnd"/>
      <w:r w:rsidRPr="00F07130">
        <w:rPr>
          <w:rFonts w:ascii="Times New Roman" w:hAnsi="Times New Roman" w:cs="Times New Roman"/>
          <w:sz w:val="24"/>
          <w:szCs w:val="24"/>
        </w:rPr>
        <w:t xml:space="preserve"> Auditing: A </w:t>
      </w:r>
      <w:r w:rsidRPr="00F07130">
        <w:rPr>
          <w:rFonts w:ascii="Times New Roman" w:hAnsi="Times New Roman" w:cs="Times New Roman"/>
          <w:sz w:val="24"/>
          <w:szCs w:val="24"/>
        </w:rPr>
        <w:tab/>
        <w:t>Journal of Practice &amp; Theory, 36(3), 71-89.</w:t>
      </w:r>
    </w:p>
    <w:p w:rsidR="001D2385" w:rsidRPr="00F07130" w:rsidRDefault="001D2385" w:rsidP="00F07130">
      <w:pPr>
        <w:spacing w:after="0" w:line="480" w:lineRule="auto"/>
        <w:rPr>
          <w:rFonts w:ascii="Times New Roman" w:hAnsi="Times New Roman" w:cs="Times New Roman"/>
          <w:sz w:val="24"/>
          <w:szCs w:val="24"/>
        </w:rPr>
      </w:pPr>
      <w:proofErr w:type="gramStart"/>
      <w:r w:rsidRPr="00F07130">
        <w:rPr>
          <w:rFonts w:ascii="Times New Roman" w:hAnsi="Times New Roman" w:cs="Times New Roman"/>
          <w:sz w:val="24"/>
          <w:szCs w:val="24"/>
        </w:rPr>
        <w:t>Gao</w:t>
      </w:r>
      <w:proofErr w:type="gramEnd"/>
      <w:r w:rsidRPr="00F07130">
        <w:rPr>
          <w:rFonts w:ascii="Times New Roman" w:hAnsi="Times New Roman" w:cs="Times New Roman"/>
          <w:sz w:val="24"/>
          <w:szCs w:val="24"/>
        </w:rPr>
        <w:t xml:space="preserve">, H., &amp; Zhang, J. (2019). SOX Section 404 and Corporate Innovation. Journal of Financial </w:t>
      </w:r>
      <w:r w:rsidRPr="00F07130">
        <w:rPr>
          <w:rFonts w:ascii="Times New Roman" w:hAnsi="Times New Roman" w:cs="Times New Roman"/>
          <w:sz w:val="24"/>
          <w:szCs w:val="24"/>
        </w:rPr>
        <w:tab/>
        <w:t>and Quantitative Analysis, 54(2), 759-787.</w:t>
      </w:r>
    </w:p>
    <w:p w:rsidR="001D2385" w:rsidRPr="00F07130" w:rsidRDefault="001D2385" w:rsidP="00F07130">
      <w:pPr>
        <w:spacing w:after="0" w:line="480" w:lineRule="auto"/>
        <w:rPr>
          <w:rFonts w:ascii="Times New Roman" w:hAnsi="Times New Roman" w:cs="Times New Roman"/>
          <w:sz w:val="24"/>
          <w:szCs w:val="24"/>
        </w:rPr>
      </w:pPr>
    </w:p>
    <w:sectPr w:rsidR="001D2385" w:rsidRPr="00F07130" w:rsidSect="003174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5D7" w:rsidRDefault="00DA05D7" w:rsidP="001D2385">
      <w:pPr>
        <w:spacing w:after="0" w:line="240" w:lineRule="auto"/>
      </w:pPr>
      <w:r>
        <w:separator/>
      </w:r>
    </w:p>
  </w:endnote>
  <w:endnote w:type="continuationSeparator" w:id="0">
    <w:p w:rsidR="00DA05D7" w:rsidRDefault="00DA05D7" w:rsidP="001D2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5D7" w:rsidRDefault="00DA05D7" w:rsidP="001D2385">
      <w:pPr>
        <w:spacing w:after="0" w:line="240" w:lineRule="auto"/>
      </w:pPr>
      <w:r>
        <w:separator/>
      </w:r>
    </w:p>
  </w:footnote>
  <w:footnote w:type="continuationSeparator" w:id="0">
    <w:p w:rsidR="00DA05D7" w:rsidRDefault="00DA05D7" w:rsidP="001D23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88598938"/>
      <w:docPartObj>
        <w:docPartGallery w:val="Page Numbers (Top of Page)"/>
        <w:docPartUnique/>
      </w:docPartObj>
    </w:sdtPr>
    <w:sdtEndPr>
      <w:rPr>
        <w:noProof/>
      </w:rPr>
    </w:sdtEndPr>
    <w:sdtContent>
      <w:p w:rsidR="001D2385" w:rsidRPr="00F07130" w:rsidRDefault="00F07130" w:rsidP="00317490">
        <w:pPr>
          <w:pStyle w:val="Header"/>
          <w:rPr>
            <w:rFonts w:ascii="Times New Roman" w:hAnsi="Times New Roman" w:cs="Times New Roman"/>
            <w:sz w:val="24"/>
            <w:szCs w:val="24"/>
          </w:rPr>
        </w:pPr>
        <w:r w:rsidRPr="00F07130">
          <w:rPr>
            <w:rFonts w:ascii="Times New Roman" w:hAnsi="Times New Roman" w:cs="Times New Roman"/>
            <w:sz w:val="24"/>
            <w:szCs w:val="24"/>
          </w:rPr>
          <w:t>WEEK 7 ASSIGNMENT</w:t>
        </w:r>
        <w:r w:rsidRPr="00F07130">
          <w:rPr>
            <w:rFonts w:ascii="Times New Roman" w:hAnsi="Times New Roman" w:cs="Times New Roman"/>
            <w:sz w:val="24"/>
            <w:szCs w:val="24"/>
          </w:rPr>
          <w:tab/>
        </w:r>
        <w:r w:rsidRPr="00F07130">
          <w:rPr>
            <w:rFonts w:ascii="Times New Roman" w:hAnsi="Times New Roman" w:cs="Times New Roman"/>
            <w:sz w:val="24"/>
            <w:szCs w:val="24"/>
          </w:rPr>
          <w:tab/>
        </w:r>
        <w:r w:rsidRPr="00F07130">
          <w:rPr>
            <w:rFonts w:ascii="Times New Roman" w:hAnsi="Times New Roman" w:cs="Times New Roman"/>
            <w:sz w:val="24"/>
            <w:szCs w:val="24"/>
          </w:rPr>
          <w:fldChar w:fldCharType="begin"/>
        </w:r>
        <w:r w:rsidRPr="00F07130">
          <w:rPr>
            <w:rFonts w:ascii="Times New Roman" w:hAnsi="Times New Roman" w:cs="Times New Roman"/>
            <w:sz w:val="24"/>
            <w:szCs w:val="24"/>
          </w:rPr>
          <w:instrText xml:space="preserve"> PAGE   \* MERGEFORMAT </w:instrText>
        </w:r>
        <w:r w:rsidRPr="00F07130">
          <w:rPr>
            <w:rFonts w:ascii="Times New Roman" w:hAnsi="Times New Roman" w:cs="Times New Roman"/>
            <w:sz w:val="24"/>
            <w:szCs w:val="24"/>
          </w:rPr>
          <w:fldChar w:fldCharType="separate"/>
        </w:r>
        <w:r w:rsidR="004F1232">
          <w:rPr>
            <w:rFonts w:ascii="Times New Roman" w:hAnsi="Times New Roman" w:cs="Times New Roman"/>
            <w:noProof/>
            <w:sz w:val="24"/>
            <w:szCs w:val="24"/>
          </w:rPr>
          <w:t>3</w:t>
        </w:r>
        <w:r w:rsidRPr="00F0713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2385" w:rsidRPr="00F07130" w:rsidRDefault="00F07130" w:rsidP="00F07130">
    <w:pPr>
      <w:pStyle w:val="Header"/>
      <w:jc w:val="right"/>
      <w:rPr>
        <w:rFonts w:ascii="Times New Roman" w:hAnsi="Times New Roman" w:cs="Times New Roman"/>
        <w:sz w:val="24"/>
        <w:szCs w:val="24"/>
      </w:rPr>
    </w:pPr>
    <w:r w:rsidRPr="00F07130">
      <w:rPr>
        <w:rFonts w:ascii="Times New Roman" w:hAnsi="Times New Roman" w:cs="Times New Roman"/>
        <w:sz w:val="24"/>
        <w:szCs w:val="24"/>
      </w:rPr>
      <w:t xml:space="preserve">Running head: WEEK 7 ASSIGNMENT </w:t>
    </w:r>
    <w:r w:rsidRPr="00F07130">
      <w:rPr>
        <w:rFonts w:ascii="Times New Roman" w:hAnsi="Times New Roman" w:cs="Times New Roman"/>
        <w:sz w:val="24"/>
        <w:szCs w:val="24"/>
      </w:rPr>
      <w:tab/>
    </w:r>
    <w:r w:rsidRPr="00F07130">
      <w:rPr>
        <w:rFonts w:ascii="Times New Roman" w:hAnsi="Times New Roman" w:cs="Times New Roman"/>
        <w:sz w:val="24"/>
        <w:szCs w:val="24"/>
      </w:rPr>
      <w:tab/>
    </w:r>
    <w:sdt>
      <w:sdtPr>
        <w:rPr>
          <w:rFonts w:ascii="Times New Roman" w:hAnsi="Times New Roman" w:cs="Times New Roman"/>
          <w:sz w:val="24"/>
          <w:szCs w:val="24"/>
        </w:rPr>
        <w:id w:val="686255735"/>
        <w:docPartObj>
          <w:docPartGallery w:val="Page Numbers (Top of Page)"/>
          <w:docPartUnique/>
        </w:docPartObj>
      </w:sdtPr>
      <w:sdtEndPr>
        <w:rPr>
          <w:noProof/>
        </w:rPr>
      </w:sdtEndPr>
      <w:sdtContent>
        <w:r w:rsidR="00317490" w:rsidRPr="00F07130">
          <w:rPr>
            <w:rFonts w:ascii="Times New Roman" w:hAnsi="Times New Roman" w:cs="Times New Roman"/>
            <w:sz w:val="24"/>
            <w:szCs w:val="24"/>
          </w:rPr>
          <w:fldChar w:fldCharType="begin"/>
        </w:r>
        <w:r w:rsidR="00317490" w:rsidRPr="00F07130">
          <w:rPr>
            <w:rFonts w:ascii="Times New Roman" w:hAnsi="Times New Roman" w:cs="Times New Roman"/>
            <w:sz w:val="24"/>
            <w:szCs w:val="24"/>
          </w:rPr>
          <w:instrText xml:space="preserve"> PAGE   \* MERGEFORMAT </w:instrText>
        </w:r>
        <w:r w:rsidR="00317490" w:rsidRPr="00F07130">
          <w:rPr>
            <w:rFonts w:ascii="Times New Roman" w:hAnsi="Times New Roman" w:cs="Times New Roman"/>
            <w:sz w:val="24"/>
            <w:szCs w:val="24"/>
          </w:rPr>
          <w:fldChar w:fldCharType="separate"/>
        </w:r>
        <w:r>
          <w:rPr>
            <w:rFonts w:ascii="Times New Roman" w:hAnsi="Times New Roman" w:cs="Times New Roman"/>
            <w:noProof/>
            <w:sz w:val="24"/>
            <w:szCs w:val="24"/>
          </w:rPr>
          <w:t>1</w:t>
        </w:r>
        <w:r w:rsidR="00317490" w:rsidRPr="00F071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4BA"/>
    <w:rsid w:val="000F0873"/>
    <w:rsid w:val="00172A97"/>
    <w:rsid w:val="001D2385"/>
    <w:rsid w:val="00317490"/>
    <w:rsid w:val="00342C53"/>
    <w:rsid w:val="003B308A"/>
    <w:rsid w:val="003D78AE"/>
    <w:rsid w:val="00462C81"/>
    <w:rsid w:val="004F1232"/>
    <w:rsid w:val="004F5F15"/>
    <w:rsid w:val="006247B7"/>
    <w:rsid w:val="00751299"/>
    <w:rsid w:val="008114BA"/>
    <w:rsid w:val="00814635"/>
    <w:rsid w:val="0093239D"/>
    <w:rsid w:val="00B77511"/>
    <w:rsid w:val="00C50A38"/>
    <w:rsid w:val="00DA05D7"/>
    <w:rsid w:val="00DF6E06"/>
    <w:rsid w:val="00E95A4F"/>
    <w:rsid w:val="00EC61E9"/>
    <w:rsid w:val="00F07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43C7E-A4BB-401F-B2E5-F6088BA0D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385"/>
  </w:style>
  <w:style w:type="paragraph" w:styleId="Footer">
    <w:name w:val="footer"/>
    <w:basedOn w:val="Normal"/>
    <w:link w:val="FooterChar"/>
    <w:uiPriority w:val="99"/>
    <w:unhideWhenUsed/>
    <w:rsid w:val="001D23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1449</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Kelvin Jackson</cp:lastModifiedBy>
  <cp:revision>2</cp:revision>
  <dcterms:created xsi:type="dcterms:W3CDTF">2019-04-19T14:50:00Z</dcterms:created>
  <dcterms:modified xsi:type="dcterms:W3CDTF">2019-04-19T14:50:00Z</dcterms:modified>
</cp:coreProperties>
</file>