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04F" w:rsidRDefault="00BB104F" w:rsidP="00BB104F">
      <w:pPr>
        <w:spacing w:line="480" w:lineRule="auto"/>
        <w:jc w:val="center"/>
        <w:rPr>
          <w:rFonts w:ascii="Times New Roman" w:hAnsi="Times New Roman" w:cs="Times New Roman"/>
          <w:b/>
          <w:sz w:val="24"/>
          <w:szCs w:val="24"/>
        </w:rPr>
      </w:pPr>
    </w:p>
    <w:p w:rsidR="00BB104F" w:rsidRDefault="00BB104F" w:rsidP="00BB104F">
      <w:pPr>
        <w:spacing w:line="480" w:lineRule="auto"/>
        <w:jc w:val="center"/>
        <w:rPr>
          <w:rFonts w:ascii="Times New Roman" w:hAnsi="Times New Roman" w:cs="Times New Roman"/>
          <w:b/>
          <w:sz w:val="24"/>
          <w:szCs w:val="24"/>
        </w:rPr>
      </w:pPr>
    </w:p>
    <w:p w:rsidR="00BB104F" w:rsidRDefault="00BB104F" w:rsidP="00BB104F">
      <w:pPr>
        <w:spacing w:line="480" w:lineRule="auto"/>
        <w:jc w:val="center"/>
        <w:rPr>
          <w:rFonts w:ascii="Times New Roman" w:hAnsi="Times New Roman" w:cs="Times New Roman"/>
          <w:b/>
          <w:sz w:val="24"/>
          <w:szCs w:val="24"/>
        </w:rPr>
      </w:pPr>
    </w:p>
    <w:p w:rsidR="00BB104F" w:rsidRDefault="00BB104F" w:rsidP="00BB104F">
      <w:pPr>
        <w:spacing w:line="480" w:lineRule="auto"/>
        <w:jc w:val="center"/>
        <w:rPr>
          <w:rFonts w:ascii="Times New Roman" w:hAnsi="Times New Roman" w:cs="Times New Roman"/>
          <w:b/>
          <w:sz w:val="24"/>
          <w:szCs w:val="24"/>
        </w:rPr>
      </w:pPr>
    </w:p>
    <w:p w:rsidR="00BB104F" w:rsidRPr="00BB104F" w:rsidRDefault="00BB104F" w:rsidP="00BB104F">
      <w:pPr>
        <w:spacing w:line="480" w:lineRule="auto"/>
        <w:jc w:val="center"/>
        <w:rPr>
          <w:rFonts w:ascii="Times New Roman" w:hAnsi="Times New Roman" w:cs="Times New Roman"/>
          <w:b/>
          <w:sz w:val="24"/>
          <w:szCs w:val="24"/>
        </w:rPr>
      </w:pPr>
      <w:r w:rsidRPr="00BB104F">
        <w:rPr>
          <w:rFonts w:ascii="Times New Roman" w:hAnsi="Times New Roman" w:cs="Times New Roman"/>
          <w:b/>
          <w:sz w:val="24"/>
          <w:szCs w:val="24"/>
        </w:rPr>
        <w:t>Case Study: Sexually Transmitted Diseases</w:t>
      </w:r>
    </w:p>
    <w:p w:rsidR="00BB104F" w:rsidRDefault="00BB104F" w:rsidP="00BB104F">
      <w:pPr>
        <w:spacing w:line="480" w:lineRule="auto"/>
        <w:jc w:val="center"/>
        <w:rPr>
          <w:rFonts w:ascii="Times New Roman" w:hAnsi="Times New Roman" w:cs="Times New Roman"/>
          <w:sz w:val="24"/>
          <w:szCs w:val="24"/>
        </w:rPr>
      </w:pPr>
    </w:p>
    <w:p w:rsidR="00BB104F" w:rsidRDefault="00BB104F" w:rsidP="00BB104F">
      <w:pPr>
        <w:spacing w:line="480" w:lineRule="auto"/>
        <w:jc w:val="center"/>
        <w:rPr>
          <w:rFonts w:ascii="Times New Roman" w:hAnsi="Times New Roman" w:cs="Times New Roman"/>
          <w:sz w:val="24"/>
          <w:szCs w:val="24"/>
        </w:rPr>
      </w:pPr>
    </w:p>
    <w:p w:rsidR="00BB104F" w:rsidRDefault="00BB104F" w:rsidP="00BB104F">
      <w:pPr>
        <w:spacing w:line="480" w:lineRule="auto"/>
        <w:jc w:val="center"/>
        <w:rPr>
          <w:rFonts w:ascii="Times New Roman" w:hAnsi="Times New Roman" w:cs="Times New Roman"/>
          <w:sz w:val="24"/>
          <w:szCs w:val="24"/>
        </w:rPr>
      </w:pPr>
    </w:p>
    <w:p w:rsidR="00BB104F" w:rsidRDefault="00BB104F" w:rsidP="00BB104F">
      <w:pPr>
        <w:spacing w:line="480" w:lineRule="auto"/>
        <w:jc w:val="center"/>
        <w:rPr>
          <w:rFonts w:ascii="Times New Roman" w:hAnsi="Times New Roman" w:cs="Times New Roman"/>
          <w:sz w:val="24"/>
          <w:szCs w:val="24"/>
        </w:rPr>
      </w:pPr>
    </w:p>
    <w:p w:rsidR="00BB104F" w:rsidRDefault="00BB104F" w:rsidP="00BB104F">
      <w:pPr>
        <w:spacing w:line="480" w:lineRule="auto"/>
        <w:jc w:val="center"/>
        <w:rPr>
          <w:rFonts w:ascii="Times New Roman" w:hAnsi="Times New Roman" w:cs="Times New Roman"/>
          <w:sz w:val="24"/>
          <w:szCs w:val="24"/>
        </w:rPr>
      </w:pPr>
    </w:p>
    <w:p w:rsidR="00BB104F" w:rsidRDefault="00BB104F" w:rsidP="00BB104F">
      <w:pPr>
        <w:spacing w:line="480" w:lineRule="auto"/>
        <w:jc w:val="center"/>
        <w:rPr>
          <w:rFonts w:ascii="Times New Roman" w:hAnsi="Times New Roman" w:cs="Times New Roman"/>
          <w:sz w:val="24"/>
          <w:szCs w:val="24"/>
        </w:rPr>
      </w:pPr>
    </w:p>
    <w:p w:rsidR="00BB104F" w:rsidRPr="00BB104F" w:rsidRDefault="00BB104F" w:rsidP="00BB104F">
      <w:pPr>
        <w:spacing w:line="480" w:lineRule="auto"/>
        <w:jc w:val="center"/>
        <w:rPr>
          <w:rFonts w:ascii="Times New Roman" w:hAnsi="Times New Roman" w:cs="Times New Roman"/>
          <w:sz w:val="24"/>
          <w:szCs w:val="24"/>
        </w:rPr>
      </w:pPr>
      <w:r w:rsidRPr="00BB104F">
        <w:rPr>
          <w:rFonts w:ascii="Times New Roman" w:hAnsi="Times New Roman" w:cs="Times New Roman"/>
          <w:sz w:val="24"/>
          <w:szCs w:val="24"/>
        </w:rPr>
        <w:t>Student’s Name</w:t>
      </w:r>
    </w:p>
    <w:p w:rsidR="00BB104F" w:rsidRPr="00BB104F" w:rsidRDefault="00BB104F" w:rsidP="00BB104F">
      <w:pPr>
        <w:spacing w:line="480" w:lineRule="auto"/>
        <w:jc w:val="center"/>
        <w:rPr>
          <w:rFonts w:ascii="Times New Roman" w:hAnsi="Times New Roman" w:cs="Times New Roman"/>
          <w:sz w:val="24"/>
          <w:szCs w:val="24"/>
        </w:rPr>
      </w:pPr>
      <w:r w:rsidRPr="00BB104F">
        <w:rPr>
          <w:rFonts w:ascii="Times New Roman" w:hAnsi="Times New Roman" w:cs="Times New Roman"/>
          <w:sz w:val="24"/>
          <w:szCs w:val="24"/>
        </w:rPr>
        <w:t>Institution of Affiliation</w:t>
      </w:r>
    </w:p>
    <w:p w:rsidR="00BB104F" w:rsidRPr="00BB104F" w:rsidRDefault="00BB104F" w:rsidP="00BB104F">
      <w:pPr>
        <w:spacing w:line="480" w:lineRule="auto"/>
        <w:jc w:val="center"/>
        <w:rPr>
          <w:rFonts w:ascii="Times New Roman" w:hAnsi="Times New Roman" w:cs="Times New Roman"/>
          <w:sz w:val="24"/>
          <w:szCs w:val="24"/>
        </w:rPr>
      </w:pPr>
      <w:r w:rsidRPr="00BB104F">
        <w:rPr>
          <w:rFonts w:ascii="Times New Roman" w:hAnsi="Times New Roman" w:cs="Times New Roman"/>
          <w:sz w:val="24"/>
          <w:szCs w:val="24"/>
        </w:rPr>
        <w:t>Course Code and Name</w:t>
      </w:r>
    </w:p>
    <w:p w:rsidR="00BB104F" w:rsidRPr="00BB104F" w:rsidRDefault="00BB104F" w:rsidP="00BB104F">
      <w:pPr>
        <w:spacing w:line="480" w:lineRule="auto"/>
        <w:jc w:val="center"/>
        <w:rPr>
          <w:rFonts w:ascii="Times New Roman" w:hAnsi="Times New Roman" w:cs="Times New Roman"/>
          <w:sz w:val="24"/>
          <w:szCs w:val="24"/>
        </w:rPr>
      </w:pPr>
      <w:r w:rsidRPr="00BB104F">
        <w:rPr>
          <w:rFonts w:ascii="Times New Roman" w:hAnsi="Times New Roman" w:cs="Times New Roman"/>
          <w:sz w:val="24"/>
          <w:szCs w:val="24"/>
        </w:rPr>
        <w:t>Professor</w:t>
      </w:r>
    </w:p>
    <w:p w:rsidR="00BB104F" w:rsidRPr="00BB104F" w:rsidRDefault="00BB104F" w:rsidP="00BB104F">
      <w:pPr>
        <w:spacing w:line="480" w:lineRule="auto"/>
        <w:jc w:val="center"/>
        <w:rPr>
          <w:rFonts w:ascii="Times New Roman" w:hAnsi="Times New Roman" w:cs="Times New Roman"/>
          <w:sz w:val="24"/>
          <w:szCs w:val="24"/>
        </w:rPr>
      </w:pPr>
      <w:r w:rsidRPr="00BB104F">
        <w:rPr>
          <w:rFonts w:ascii="Times New Roman" w:hAnsi="Times New Roman" w:cs="Times New Roman"/>
          <w:sz w:val="24"/>
          <w:szCs w:val="24"/>
        </w:rPr>
        <w:t>Date</w:t>
      </w:r>
    </w:p>
    <w:p w:rsidR="00BB104F" w:rsidRDefault="00BB104F">
      <w:pPr>
        <w:rPr>
          <w:rFonts w:ascii="Times New Roman" w:hAnsi="Times New Roman" w:cs="Times New Roman"/>
          <w:sz w:val="24"/>
          <w:szCs w:val="24"/>
        </w:rPr>
      </w:pPr>
      <w:r>
        <w:rPr>
          <w:rFonts w:ascii="Times New Roman" w:hAnsi="Times New Roman" w:cs="Times New Roman"/>
          <w:sz w:val="24"/>
          <w:szCs w:val="24"/>
        </w:rPr>
        <w:br w:type="page"/>
      </w:r>
    </w:p>
    <w:p w:rsidR="00BB104F" w:rsidRPr="00BB104F" w:rsidRDefault="00BB104F" w:rsidP="00BB104F">
      <w:pPr>
        <w:spacing w:line="480" w:lineRule="auto"/>
        <w:jc w:val="center"/>
        <w:rPr>
          <w:rFonts w:ascii="Times New Roman" w:hAnsi="Times New Roman" w:cs="Times New Roman"/>
          <w:sz w:val="24"/>
          <w:szCs w:val="24"/>
        </w:rPr>
      </w:pPr>
      <w:r w:rsidRPr="00BB104F">
        <w:rPr>
          <w:rFonts w:ascii="Times New Roman" w:hAnsi="Times New Roman" w:cs="Times New Roman"/>
          <w:sz w:val="24"/>
          <w:szCs w:val="24"/>
        </w:rPr>
        <w:lastRenderedPageBreak/>
        <w:t>Case Study</w:t>
      </w:r>
      <w:r w:rsidRPr="00BB104F">
        <w:rPr>
          <w:rFonts w:ascii="Times New Roman" w:hAnsi="Times New Roman" w:cs="Times New Roman"/>
          <w:sz w:val="24"/>
          <w:szCs w:val="24"/>
        </w:rPr>
        <w:t>: Sexually Transmitted Diseases</w:t>
      </w:r>
    </w:p>
    <w:p w:rsidR="00983334" w:rsidRPr="00BB104F" w:rsidRDefault="0028762B" w:rsidP="00BB104F">
      <w:pPr>
        <w:spacing w:line="480" w:lineRule="auto"/>
        <w:ind w:firstLine="720"/>
        <w:rPr>
          <w:rFonts w:ascii="Times New Roman" w:hAnsi="Times New Roman" w:cs="Times New Roman"/>
          <w:sz w:val="24"/>
          <w:szCs w:val="24"/>
        </w:rPr>
      </w:pPr>
      <w:r w:rsidRPr="00BB104F">
        <w:rPr>
          <w:rFonts w:ascii="Times New Roman" w:hAnsi="Times New Roman" w:cs="Times New Roman"/>
          <w:sz w:val="24"/>
          <w:szCs w:val="24"/>
        </w:rPr>
        <w:t xml:space="preserve">The two sexually transmitted diseases that might be encountered and treated by a primary care provider and which will form the basis of this discussion are gonorrhea and syphilis. Both gonorrhea and syphilis are bacterial infections that can be spread through sexual contact. The causative agent of gonorrhea is the bacteria </w:t>
      </w:r>
      <w:r w:rsidRPr="00BB104F">
        <w:rPr>
          <w:rFonts w:ascii="Times New Roman" w:hAnsi="Times New Roman" w:cs="Times New Roman"/>
          <w:i/>
          <w:sz w:val="24"/>
          <w:szCs w:val="24"/>
        </w:rPr>
        <w:t>Neisseria gonorrhea</w:t>
      </w:r>
      <w:r w:rsidRPr="00BB104F">
        <w:rPr>
          <w:rFonts w:ascii="Times New Roman" w:hAnsi="Times New Roman" w:cs="Times New Roman"/>
          <w:sz w:val="24"/>
          <w:szCs w:val="24"/>
        </w:rPr>
        <w:t xml:space="preserve"> </w:t>
      </w:r>
      <w:r w:rsidR="005801A8" w:rsidRPr="00BB104F">
        <w:rPr>
          <w:rFonts w:ascii="Times New Roman" w:hAnsi="Times New Roman" w:cs="Times New Roman"/>
          <w:sz w:val="24"/>
          <w:szCs w:val="24"/>
        </w:rPr>
        <w:t xml:space="preserve">(Hedley &amp; Daramola, </w:t>
      </w:r>
      <w:r w:rsidR="005801A8" w:rsidRPr="00BB104F">
        <w:rPr>
          <w:rFonts w:ascii="Times New Roman" w:hAnsi="Times New Roman" w:cs="Times New Roman"/>
          <w:sz w:val="24"/>
          <w:szCs w:val="24"/>
        </w:rPr>
        <w:t>2020</w:t>
      </w:r>
      <w:r w:rsidR="005801A8" w:rsidRPr="00BB104F">
        <w:rPr>
          <w:rFonts w:ascii="Times New Roman" w:hAnsi="Times New Roman" w:cs="Times New Roman"/>
          <w:sz w:val="24"/>
          <w:szCs w:val="24"/>
        </w:rPr>
        <w:t xml:space="preserve">) </w:t>
      </w:r>
      <w:r w:rsidRPr="00BB104F">
        <w:rPr>
          <w:rFonts w:ascii="Times New Roman" w:hAnsi="Times New Roman" w:cs="Times New Roman"/>
          <w:sz w:val="24"/>
          <w:szCs w:val="24"/>
        </w:rPr>
        <w:t xml:space="preserve">while syphilis is caused by the bacteria </w:t>
      </w:r>
      <w:r w:rsidRPr="00BB104F">
        <w:rPr>
          <w:rFonts w:ascii="Times New Roman" w:hAnsi="Times New Roman" w:cs="Times New Roman"/>
          <w:i/>
          <w:sz w:val="24"/>
          <w:szCs w:val="24"/>
        </w:rPr>
        <w:t>Treponema pallidum</w:t>
      </w:r>
      <w:r w:rsidR="005801A8" w:rsidRPr="00BB104F">
        <w:rPr>
          <w:rFonts w:ascii="Times New Roman" w:hAnsi="Times New Roman" w:cs="Times New Roman"/>
          <w:i/>
          <w:sz w:val="24"/>
          <w:szCs w:val="24"/>
        </w:rPr>
        <w:t xml:space="preserve"> </w:t>
      </w:r>
      <w:r w:rsidR="005801A8" w:rsidRPr="00BB104F">
        <w:rPr>
          <w:rFonts w:ascii="Times New Roman" w:hAnsi="Times New Roman" w:cs="Times New Roman"/>
          <w:sz w:val="24"/>
          <w:szCs w:val="24"/>
        </w:rPr>
        <w:t>(Nevin, 2015)</w:t>
      </w:r>
      <w:r w:rsidRPr="00BB104F">
        <w:rPr>
          <w:rFonts w:ascii="Times New Roman" w:hAnsi="Times New Roman" w:cs="Times New Roman"/>
          <w:sz w:val="24"/>
          <w:szCs w:val="24"/>
        </w:rPr>
        <w:t xml:space="preserve">. </w:t>
      </w:r>
    </w:p>
    <w:p w:rsidR="00257AE3" w:rsidRPr="00BB104F" w:rsidRDefault="0028762B" w:rsidP="00BB104F">
      <w:pPr>
        <w:spacing w:line="480" w:lineRule="auto"/>
        <w:ind w:firstLine="720"/>
        <w:rPr>
          <w:rFonts w:ascii="Times New Roman" w:hAnsi="Times New Roman" w:cs="Times New Roman"/>
          <w:sz w:val="24"/>
          <w:szCs w:val="24"/>
        </w:rPr>
      </w:pPr>
      <w:r w:rsidRPr="00BB104F">
        <w:rPr>
          <w:rFonts w:ascii="Times New Roman" w:hAnsi="Times New Roman" w:cs="Times New Roman"/>
          <w:sz w:val="24"/>
          <w:szCs w:val="24"/>
        </w:rPr>
        <w:t>In the males, Neisseria gonorrhea infections result in gonococcal urethritis which on complication following the lack of prompt treatment results in urethra stricture, gonococcal epididymitis and epididymo</w:t>
      </w:r>
      <w:r w:rsidR="000F100D" w:rsidRPr="00BB104F">
        <w:rPr>
          <w:rFonts w:ascii="Times New Roman" w:hAnsi="Times New Roman" w:cs="Times New Roman"/>
          <w:sz w:val="24"/>
          <w:szCs w:val="24"/>
        </w:rPr>
        <w:t>-orchitis. In the females it causes gonococcal cervicitis and salpingitis which can complicate with the lack of treatment to result in gonococcal tubo-ovarian abscess and pelvic peritonitis (pelvic inflammatory disease). Gonorrhea can produce infertility in both men and women following an untreated long-standing disease (</w:t>
      </w:r>
      <w:r w:rsidR="005801A8" w:rsidRPr="00BB104F">
        <w:rPr>
          <w:rFonts w:ascii="Times New Roman" w:hAnsi="Times New Roman" w:cs="Times New Roman"/>
          <w:sz w:val="24"/>
          <w:szCs w:val="24"/>
        </w:rPr>
        <w:t>Hedley &amp; Daramola, 2020</w:t>
      </w:r>
      <w:r w:rsidR="000F100D" w:rsidRPr="00BB104F">
        <w:rPr>
          <w:rFonts w:ascii="Times New Roman" w:hAnsi="Times New Roman" w:cs="Times New Roman"/>
          <w:sz w:val="24"/>
          <w:szCs w:val="24"/>
        </w:rPr>
        <w:t>). It can also affect infants through the transvaginal route of transmission when they are delivered through the infected birth canal. The manifestation of gonorrheal infection in infants is gonococcal ophthalmia neonatorum which if untreated can complicate leading to blindness.</w:t>
      </w:r>
    </w:p>
    <w:p w:rsidR="00983334" w:rsidRPr="00BB104F" w:rsidRDefault="00983334" w:rsidP="00BB104F">
      <w:pPr>
        <w:spacing w:line="480" w:lineRule="auto"/>
        <w:ind w:firstLine="720"/>
        <w:rPr>
          <w:rFonts w:ascii="Times New Roman" w:hAnsi="Times New Roman" w:cs="Times New Roman"/>
          <w:sz w:val="24"/>
          <w:szCs w:val="24"/>
        </w:rPr>
      </w:pPr>
      <w:r w:rsidRPr="00BB104F">
        <w:rPr>
          <w:rFonts w:ascii="Times New Roman" w:hAnsi="Times New Roman" w:cs="Times New Roman"/>
          <w:sz w:val="24"/>
          <w:szCs w:val="24"/>
        </w:rPr>
        <w:t>Syphilis acquired through sexual contact usually manifests following a 3- to 4- weeks period of incubation</w:t>
      </w:r>
      <w:r w:rsidR="005801A8" w:rsidRPr="00BB104F">
        <w:rPr>
          <w:rFonts w:ascii="Times New Roman" w:hAnsi="Times New Roman" w:cs="Times New Roman"/>
          <w:sz w:val="24"/>
          <w:szCs w:val="24"/>
        </w:rPr>
        <w:t xml:space="preserve"> (</w:t>
      </w:r>
      <w:r w:rsidR="005801A8" w:rsidRPr="00BB104F">
        <w:rPr>
          <w:rFonts w:ascii="Times New Roman" w:hAnsi="Times New Roman" w:cs="Times New Roman"/>
          <w:sz w:val="24"/>
          <w:szCs w:val="24"/>
        </w:rPr>
        <w:t>Nevin, 2015</w:t>
      </w:r>
      <w:r w:rsidR="005801A8" w:rsidRPr="00BB104F">
        <w:rPr>
          <w:rFonts w:ascii="Times New Roman" w:hAnsi="Times New Roman" w:cs="Times New Roman"/>
          <w:sz w:val="24"/>
          <w:szCs w:val="24"/>
        </w:rPr>
        <w:t>)</w:t>
      </w:r>
      <w:r w:rsidRPr="00BB104F">
        <w:rPr>
          <w:rFonts w:ascii="Times New Roman" w:hAnsi="Times New Roman" w:cs="Times New Roman"/>
          <w:sz w:val="24"/>
          <w:szCs w:val="24"/>
        </w:rPr>
        <w:t>. The course of the disease follows through a primary stage represented by a hard chancre – a genital ulcer that is non-tender and indurated and with inguinal lymphadenopathy (</w:t>
      </w:r>
      <w:r w:rsidR="00614F14">
        <w:rPr>
          <w:rFonts w:ascii="Times New Roman" w:hAnsi="Times New Roman" w:cs="Times New Roman"/>
          <w:sz w:val="24"/>
          <w:szCs w:val="24"/>
        </w:rPr>
        <w:t>Nevin, 2015</w:t>
      </w:r>
      <w:r w:rsidRPr="00BB104F">
        <w:rPr>
          <w:rFonts w:ascii="Times New Roman" w:hAnsi="Times New Roman" w:cs="Times New Roman"/>
          <w:sz w:val="24"/>
          <w:szCs w:val="24"/>
        </w:rPr>
        <w:t>). The secondary stage manifests with generalized maculopapular rash, condylomata lata, and white patches in the mouth</w:t>
      </w:r>
      <w:r w:rsidR="005801A8" w:rsidRPr="00BB104F">
        <w:rPr>
          <w:rFonts w:ascii="Times New Roman" w:hAnsi="Times New Roman" w:cs="Times New Roman"/>
          <w:sz w:val="24"/>
          <w:szCs w:val="24"/>
        </w:rPr>
        <w:t xml:space="preserve"> (</w:t>
      </w:r>
      <w:r w:rsidR="005801A8" w:rsidRPr="00BB104F">
        <w:rPr>
          <w:rFonts w:ascii="Times New Roman" w:hAnsi="Times New Roman" w:cs="Times New Roman"/>
          <w:sz w:val="24"/>
          <w:szCs w:val="24"/>
        </w:rPr>
        <w:t>Nevin, 2015</w:t>
      </w:r>
      <w:r w:rsidR="005801A8" w:rsidRPr="00BB104F">
        <w:rPr>
          <w:rFonts w:ascii="Times New Roman" w:hAnsi="Times New Roman" w:cs="Times New Roman"/>
          <w:sz w:val="24"/>
          <w:szCs w:val="24"/>
        </w:rPr>
        <w:t>)</w:t>
      </w:r>
      <w:r w:rsidRPr="00BB104F">
        <w:rPr>
          <w:rFonts w:ascii="Times New Roman" w:hAnsi="Times New Roman" w:cs="Times New Roman"/>
          <w:sz w:val="24"/>
          <w:szCs w:val="24"/>
        </w:rPr>
        <w:t xml:space="preserve">.  Both the primary and secondary stages of syphilis are associated with the highly phases of the disease in which the infected individual has numerous spirochetes, the Treponema pallidum cells from the site of the </w:t>
      </w:r>
      <w:r w:rsidRPr="00BB104F">
        <w:rPr>
          <w:rFonts w:ascii="Times New Roman" w:hAnsi="Times New Roman" w:cs="Times New Roman"/>
          <w:sz w:val="24"/>
          <w:szCs w:val="24"/>
        </w:rPr>
        <w:lastRenderedPageBreak/>
        <w:t>lesion (</w:t>
      </w:r>
      <w:r w:rsidR="005801A8" w:rsidRPr="00BB104F">
        <w:rPr>
          <w:rFonts w:ascii="Times New Roman" w:hAnsi="Times New Roman" w:cs="Times New Roman"/>
          <w:sz w:val="24"/>
          <w:szCs w:val="24"/>
        </w:rPr>
        <w:t>Nevin, 2015</w:t>
      </w:r>
      <w:r w:rsidRPr="00BB104F">
        <w:rPr>
          <w:rFonts w:ascii="Times New Roman" w:hAnsi="Times New Roman" w:cs="Times New Roman"/>
          <w:sz w:val="24"/>
          <w:szCs w:val="24"/>
        </w:rPr>
        <w:t>). The disease can undergo latency stage in which the patient is symp</w:t>
      </w:r>
      <w:r w:rsidR="00F046C0" w:rsidRPr="00BB104F">
        <w:rPr>
          <w:rFonts w:ascii="Times New Roman" w:hAnsi="Times New Roman" w:cs="Times New Roman"/>
          <w:sz w:val="24"/>
          <w:szCs w:val="24"/>
        </w:rPr>
        <w:t>tom</w:t>
      </w:r>
      <w:r w:rsidRPr="00BB104F">
        <w:rPr>
          <w:rFonts w:ascii="Times New Roman" w:hAnsi="Times New Roman" w:cs="Times New Roman"/>
          <w:sz w:val="24"/>
          <w:szCs w:val="24"/>
        </w:rPr>
        <w:t xml:space="preserve">-free </w:t>
      </w:r>
      <w:r w:rsidR="00F046C0" w:rsidRPr="00BB104F">
        <w:rPr>
          <w:rFonts w:ascii="Times New Roman" w:hAnsi="Times New Roman" w:cs="Times New Roman"/>
          <w:sz w:val="24"/>
          <w:szCs w:val="24"/>
        </w:rPr>
        <w:t>but relapse can occur. Diagnosis of this latent stage of the disease is through serological tests. The last stage of the disease is the tertiary stage which manifests with gumma (granulomatous lesions) in the bone, liver, and skin, meningo-vascular syphilis, syphilitic aortitis, and aortic aneurysm</w:t>
      </w:r>
      <w:r w:rsidR="005801A8" w:rsidRPr="00BB104F">
        <w:rPr>
          <w:rFonts w:ascii="Times New Roman" w:hAnsi="Times New Roman" w:cs="Times New Roman"/>
          <w:sz w:val="24"/>
          <w:szCs w:val="24"/>
        </w:rPr>
        <w:t xml:space="preserve"> (</w:t>
      </w:r>
      <w:r w:rsidR="005801A8" w:rsidRPr="00BB104F">
        <w:rPr>
          <w:rFonts w:ascii="Times New Roman" w:hAnsi="Times New Roman" w:cs="Times New Roman"/>
          <w:sz w:val="24"/>
          <w:szCs w:val="24"/>
        </w:rPr>
        <w:t>Nevin, 2015</w:t>
      </w:r>
      <w:r w:rsidR="005801A8" w:rsidRPr="00BB104F">
        <w:rPr>
          <w:rFonts w:ascii="Times New Roman" w:hAnsi="Times New Roman" w:cs="Times New Roman"/>
          <w:sz w:val="24"/>
          <w:szCs w:val="24"/>
        </w:rPr>
        <w:t>)</w:t>
      </w:r>
      <w:r w:rsidR="00F046C0" w:rsidRPr="00BB104F">
        <w:rPr>
          <w:rFonts w:ascii="Times New Roman" w:hAnsi="Times New Roman" w:cs="Times New Roman"/>
          <w:sz w:val="24"/>
          <w:szCs w:val="24"/>
        </w:rPr>
        <w:t>. An infected mother could also pass the infection to her child in utero which can lead to fetal death, still birth, early neonatal death and organ damage (congenital syphilis triad), namely, interstitial keratitis, Hutchison’s teeth, and deafness (</w:t>
      </w:r>
      <w:r w:rsidR="005801A8" w:rsidRPr="00BB104F">
        <w:rPr>
          <w:rFonts w:ascii="Times New Roman" w:hAnsi="Times New Roman" w:cs="Times New Roman"/>
          <w:sz w:val="24"/>
          <w:szCs w:val="24"/>
        </w:rPr>
        <w:t>Nevin, 2015</w:t>
      </w:r>
      <w:r w:rsidR="00F046C0" w:rsidRPr="00BB104F">
        <w:rPr>
          <w:rFonts w:ascii="Times New Roman" w:hAnsi="Times New Roman" w:cs="Times New Roman"/>
          <w:sz w:val="24"/>
          <w:szCs w:val="24"/>
        </w:rPr>
        <w:t xml:space="preserve">). </w:t>
      </w:r>
    </w:p>
    <w:p w:rsidR="004477D1" w:rsidRPr="00614F14" w:rsidRDefault="004477D1" w:rsidP="00614F14">
      <w:pPr>
        <w:spacing w:line="480" w:lineRule="auto"/>
        <w:jc w:val="center"/>
        <w:rPr>
          <w:rFonts w:ascii="Times New Roman" w:hAnsi="Times New Roman" w:cs="Times New Roman"/>
          <w:b/>
          <w:sz w:val="24"/>
          <w:szCs w:val="24"/>
        </w:rPr>
      </w:pPr>
      <w:r w:rsidRPr="00614F14">
        <w:rPr>
          <w:rFonts w:ascii="Times New Roman" w:hAnsi="Times New Roman" w:cs="Times New Roman"/>
          <w:b/>
          <w:sz w:val="24"/>
          <w:szCs w:val="24"/>
        </w:rPr>
        <w:t>Prevalent Rates</w:t>
      </w:r>
    </w:p>
    <w:p w:rsidR="001D570B" w:rsidRPr="00BB104F" w:rsidRDefault="001D570B" w:rsidP="00BB104F">
      <w:pPr>
        <w:spacing w:line="480" w:lineRule="auto"/>
        <w:ind w:firstLine="720"/>
        <w:rPr>
          <w:rFonts w:ascii="Times New Roman" w:hAnsi="Times New Roman" w:cs="Times New Roman"/>
          <w:sz w:val="24"/>
          <w:szCs w:val="24"/>
        </w:rPr>
      </w:pPr>
      <w:r w:rsidRPr="00BB104F">
        <w:rPr>
          <w:rFonts w:ascii="Times New Roman" w:hAnsi="Times New Roman" w:cs="Times New Roman"/>
          <w:sz w:val="24"/>
          <w:szCs w:val="24"/>
        </w:rPr>
        <w:t>The current</w:t>
      </w:r>
      <w:r w:rsidR="00D05DF5" w:rsidRPr="00BB104F">
        <w:rPr>
          <w:rFonts w:ascii="Times New Roman" w:hAnsi="Times New Roman" w:cs="Times New Roman"/>
          <w:sz w:val="24"/>
          <w:szCs w:val="24"/>
        </w:rPr>
        <w:t xml:space="preserve"> prevalence rates for syphilis, as of 2017, were 0.50% in female and 0.97% in male adults aged between 15-49 years (Kularatne et al., 2018). The prevalent rates of gonorrhea among the same cohort are 6.6% in female and 3.5% in males (</w:t>
      </w:r>
      <w:r w:rsidR="00D05DF5" w:rsidRPr="00BB104F">
        <w:rPr>
          <w:rFonts w:ascii="Times New Roman" w:hAnsi="Times New Roman" w:cs="Times New Roman"/>
          <w:sz w:val="24"/>
          <w:szCs w:val="24"/>
        </w:rPr>
        <w:t>Kularatne et al., 2018</w:t>
      </w:r>
      <w:r w:rsidR="00D05DF5" w:rsidRPr="00BB104F">
        <w:rPr>
          <w:rFonts w:ascii="Times New Roman" w:hAnsi="Times New Roman" w:cs="Times New Roman"/>
          <w:sz w:val="24"/>
          <w:szCs w:val="24"/>
        </w:rPr>
        <w:t>).</w:t>
      </w:r>
    </w:p>
    <w:p w:rsidR="00F046C0" w:rsidRPr="00BB104F" w:rsidRDefault="00F046C0" w:rsidP="00BB104F">
      <w:pPr>
        <w:spacing w:line="480" w:lineRule="auto"/>
        <w:ind w:firstLine="720"/>
        <w:rPr>
          <w:rFonts w:ascii="Times New Roman" w:hAnsi="Times New Roman" w:cs="Times New Roman"/>
          <w:sz w:val="24"/>
          <w:szCs w:val="24"/>
        </w:rPr>
      </w:pPr>
      <w:r w:rsidRPr="00BB104F">
        <w:rPr>
          <w:rFonts w:ascii="Times New Roman" w:hAnsi="Times New Roman" w:cs="Times New Roman"/>
          <w:sz w:val="24"/>
          <w:szCs w:val="24"/>
        </w:rPr>
        <w:t xml:space="preserve">Both of these diseases are a public health concern worldwide because they are associated </w:t>
      </w:r>
      <w:r w:rsidR="005801A8" w:rsidRPr="00BB104F">
        <w:rPr>
          <w:rFonts w:ascii="Times New Roman" w:hAnsi="Times New Roman" w:cs="Times New Roman"/>
          <w:sz w:val="24"/>
          <w:szCs w:val="24"/>
        </w:rPr>
        <w:t xml:space="preserve">with </w:t>
      </w:r>
      <w:r w:rsidR="001D570B" w:rsidRPr="00BB104F">
        <w:rPr>
          <w:rFonts w:ascii="Times New Roman" w:hAnsi="Times New Roman" w:cs="Times New Roman"/>
          <w:sz w:val="24"/>
          <w:szCs w:val="24"/>
        </w:rPr>
        <w:t xml:space="preserve">considerable morbidity and disability especially to the affected infants. These diseases contribute to the already high burden of infectious diseases around the global with consumption of considerable resources in diagnosis, treatment, and follow-up of patients despite being highly preventable diseases. </w:t>
      </w:r>
    </w:p>
    <w:p w:rsidR="000F100D" w:rsidRPr="00614F14" w:rsidRDefault="000F100D" w:rsidP="00614F14">
      <w:pPr>
        <w:spacing w:line="480" w:lineRule="auto"/>
        <w:jc w:val="center"/>
        <w:rPr>
          <w:rFonts w:ascii="Times New Roman" w:hAnsi="Times New Roman" w:cs="Times New Roman"/>
          <w:b/>
          <w:sz w:val="24"/>
          <w:szCs w:val="24"/>
        </w:rPr>
      </w:pPr>
      <w:r w:rsidRPr="00614F14">
        <w:rPr>
          <w:rFonts w:ascii="Times New Roman" w:hAnsi="Times New Roman" w:cs="Times New Roman"/>
          <w:b/>
          <w:sz w:val="24"/>
          <w:szCs w:val="24"/>
        </w:rPr>
        <w:t>Diagnosis</w:t>
      </w:r>
    </w:p>
    <w:p w:rsidR="001D570B" w:rsidRPr="00BB104F" w:rsidRDefault="000F100D" w:rsidP="00BB104F">
      <w:pPr>
        <w:spacing w:line="480" w:lineRule="auto"/>
        <w:ind w:firstLine="720"/>
        <w:rPr>
          <w:rFonts w:ascii="Times New Roman" w:hAnsi="Times New Roman" w:cs="Times New Roman"/>
          <w:sz w:val="24"/>
          <w:szCs w:val="24"/>
        </w:rPr>
      </w:pPr>
      <w:r w:rsidRPr="00BB104F">
        <w:rPr>
          <w:rFonts w:ascii="Times New Roman" w:hAnsi="Times New Roman" w:cs="Times New Roman"/>
          <w:sz w:val="24"/>
          <w:szCs w:val="24"/>
        </w:rPr>
        <w:t xml:space="preserve">Both gonorrhea and syphilis can be diagnosed following a careful history taking from the patient regarding their sexual health. The impression of gonorrhea can be confirmed using laboratory tests. </w:t>
      </w:r>
    </w:p>
    <w:p w:rsidR="000F100D" w:rsidRPr="00BB104F" w:rsidRDefault="000F100D" w:rsidP="00BB104F">
      <w:pPr>
        <w:spacing w:line="480" w:lineRule="auto"/>
        <w:ind w:firstLine="720"/>
        <w:rPr>
          <w:rFonts w:ascii="Times New Roman" w:hAnsi="Times New Roman" w:cs="Times New Roman"/>
          <w:sz w:val="24"/>
          <w:szCs w:val="24"/>
        </w:rPr>
      </w:pPr>
      <w:r w:rsidRPr="00BB104F">
        <w:rPr>
          <w:rFonts w:ascii="Times New Roman" w:hAnsi="Times New Roman" w:cs="Times New Roman"/>
          <w:sz w:val="24"/>
          <w:szCs w:val="24"/>
        </w:rPr>
        <w:lastRenderedPageBreak/>
        <w:t xml:space="preserve">The specimens that can be used in the diagnosis </w:t>
      </w:r>
      <w:r w:rsidR="001D570B" w:rsidRPr="00BB104F">
        <w:rPr>
          <w:rFonts w:ascii="Times New Roman" w:hAnsi="Times New Roman" w:cs="Times New Roman"/>
          <w:sz w:val="24"/>
          <w:szCs w:val="24"/>
        </w:rPr>
        <w:t xml:space="preserve">of gonorrhea </w:t>
      </w:r>
      <w:r w:rsidRPr="00BB104F">
        <w:rPr>
          <w:rFonts w:ascii="Times New Roman" w:hAnsi="Times New Roman" w:cs="Times New Roman"/>
          <w:sz w:val="24"/>
          <w:szCs w:val="24"/>
        </w:rPr>
        <w:t xml:space="preserve">include urethral (males), cervical (females), and eye swabs (infants). The specimens thus collected could be subjected to gram stain in which the smear would depict </w:t>
      </w:r>
      <w:r w:rsidR="004D51B3" w:rsidRPr="00BB104F">
        <w:rPr>
          <w:rFonts w:ascii="Times New Roman" w:hAnsi="Times New Roman" w:cs="Times New Roman"/>
          <w:sz w:val="24"/>
          <w:szCs w:val="24"/>
        </w:rPr>
        <w:t xml:space="preserve">non-motile, </w:t>
      </w:r>
      <w:r w:rsidRPr="00BB104F">
        <w:rPr>
          <w:rFonts w:ascii="Times New Roman" w:hAnsi="Times New Roman" w:cs="Times New Roman"/>
          <w:sz w:val="24"/>
          <w:szCs w:val="24"/>
        </w:rPr>
        <w:t>gram-negative intracellular diplococci</w:t>
      </w:r>
      <w:r w:rsidR="005801A8" w:rsidRPr="00BB104F">
        <w:rPr>
          <w:rFonts w:ascii="Times New Roman" w:hAnsi="Times New Roman" w:cs="Times New Roman"/>
          <w:sz w:val="24"/>
          <w:szCs w:val="24"/>
        </w:rPr>
        <w:t xml:space="preserve"> (v)</w:t>
      </w:r>
      <w:r w:rsidRPr="00BB104F">
        <w:rPr>
          <w:rFonts w:ascii="Times New Roman" w:hAnsi="Times New Roman" w:cs="Times New Roman"/>
          <w:sz w:val="24"/>
          <w:szCs w:val="24"/>
        </w:rPr>
        <w:t xml:space="preserve">. More than five polymorphs per high power field </w:t>
      </w:r>
      <w:r w:rsidR="004477D1" w:rsidRPr="00BB104F">
        <w:rPr>
          <w:rFonts w:ascii="Times New Roman" w:hAnsi="Times New Roman" w:cs="Times New Roman"/>
          <w:sz w:val="24"/>
          <w:szCs w:val="24"/>
        </w:rPr>
        <w:t>are</w:t>
      </w:r>
      <w:r w:rsidRPr="00BB104F">
        <w:rPr>
          <w:rFonts w:ascii="Times New Roman" w:hAnsi="Times New Roman" w:cs="Times New Roman"/>
          <w:sz w:val="24"/>
          <w:szCs w:val="24"/>
        </w:rPr>
        <w:t xml:space="preserve"> diagnostic of the presence of an infection. The specimen could also be cultured to observe for the growth of Neisseria gonorrhea. The bacterium is a fastidious bacterium requiring an enriched media like chocolate agar or thayer-martin agar for growth. </w:t>
      </w:r>
      <w:r w:rsidR="004D51B3" w:rsidRPr="00BB104F">
        <w:rPr>
          <w:rFonts w:ascii="Times New Roman" w:hAnsi="Times New Roman" w:cs="Times New Roman"/>
          <w:sz w:val="24"/>
          <w:szCs w:val="24"/>
        </w:rPr>
        <w:t>They are rapidly killed by drying, exposure to sunlight, and by disinfectants. The causative agent is an aerobe growing in aerobic conditions containing 5% CO2. It produces small glistening colonies</w:t>
      </w:r>
      <w:r w:rsidR="005801A8" w:rsidRPr="00BB104F">
        <w:rPr>
          <w:rFonts w:ascii="Times New Roman" w:hAnsi="Times New Roman" w:cs="Times New Roman"/>
          <w:sz w:val="24"/>
          <w:szCs w:val="24"/>
        </w:rPr>
        <w:t xml:space="preserve"> (</w:t>
      </w:r>
      <w:r w:rsidR="005801A8" w:rsidRPr="00BB104F">
        <w:rPr>
          <w:rFonts w:ascii="Times New Roman" w:hAnsi="Times New Roman" w:cs="Times New Roman"/>
          <w:sz w:val="24"/>
          <w:szCs w:val="24"/>
        </w:rPr>
        <w:t>Hedley &amp; Daramola, 2020</w:t>
      </w:r>
      <w:r w:rsidR="005801A8" w:rsidRPr="00BB104F">
        <w:rPr>
          <w:rFonts w:ascii="Times New Roman" w:hAnsi="Times New Roman" w:cs="Times New Roman"/>
          <w:sz w:val="24"/>
          <w:szCs w:val="24"/>
        </w:rPr>
        <w:t>)</w:t>
      </w:r>
      <w:r w:rsidR="004D51B3" w:rsidRPr="00BB104F">
        <w:rPr>
          <w:rFonts w:ascii="Times New Roman" w:hAnsi="Times New Roman" w:cs="Times New Roman"/>
          <w:sz w:val="24"/>
          <w:szCs w:val="24"/>
        </w:rPr>
        <w:t>. It can also be differentiated form other species of bacteria using the biochemical test – oxidase test where it is oxidase positive. Also, the bacterium ferments only glucose in carbohydrate utilization test which can be done to augment the diagnosis of Neisseria gonorrhea. Serology could also be done as a diagnostic test in which antibodies to gonococcal pili and Omps protein can be detecting using immunoblotting, RIA or ELIZA tests</w:t>
      </w:r>
      <w:r w:rsidR="005801A8" w:rsidRPr="00BB104F">
        <w:rPr>
          <w:rFonts w:ascii="Times New Roman" w:hAnsi="Times New Roman" w:cs="Times New Roman"/>
          <w:sz w:val="24"/>
          <w:szCs w:val="24"/>
        </w:rPr>
        <w:t xml:space="preserve"> (</w:t>
      </w:r>
      <w:r w:rsidR="005801A8" w:rsidRPr="00BB104F">
        <w:rPr>
          <w:rFonts w:ascii="Times New Roman" w:hAnsi="Times New Roman" w:cs="Times New Roman"/>
          <w:sz w:val="24"/>
          <w:szCs w:val="24"/>
        </w:rPr>
        <w:t>Hedley &amp; Daramola, 2020</w:t>
      </w:r>
      <w:r w:rsidR="005801A8" w:rsidRPr="00BB104F">
        <w:rPr>
          <w:rFonts w:ascii="Times New Roman" w:hAnsi="Times New Roman" w:cs="Times New Roman"/>
          <w:sz w:val="24"/>
          <w:szCs w:val="24"/>
        </w:rPr>
        <w:t>)</w:t>
      </w:r>
      <w:r w:rsidR="004D51B3" w:rsidRPr="00BB104F">
        <w:rPr>
          <w:rFonts w:ascii="Times New Roman" w:hAnsi="Times New Roman" w:cs="Times New Roman"/>
          <w:sz w:val="24"/>
          <w:szCs w:val="24"/>
        </w:rPr>
        <w:t xml:space="preserve">. </w:t>
      </w:r>
    </w:p>
    <w:p w:rsidR="00BF6B52" w:rsidRPr="00BB104F" w:rsidRDefault="00BF6B52" w:rsidP="00BB104F">
      <w:pPr>
        <w:spacing w:line="480" w:lineRule="auto"/>
        <w:ind w:firstLine="720"/>
        <w:rPr>
          <w:rFonts w:ascii="Times New Roman" w:hAnsi="Times New Roman" w:cs="Times New Roman"/>
          <w:sz w:val="24"/>
          <w:szCs w:val="24"/>
        </w:rPr>
      </w:pPr>
      <w:r w:rsidRPr="00BB104F">
        <w:rPr>
          <w:rFonts w:ascii="Times New Roman" w:hAnsi="Times New Roman" w:cs="Times New Roman"/>
          <w:sz w:val="24"/>
          <w:szCs w:val="24"/>
        </w:rPr>
        <w:t>Syphilis on the other hand is caused by a bacterium that is very hard to culture</w:t>
      </w:r>
      <w:r w:rsidR="005801A8" w:rsidRPr="00BB104F">
        <w:rPr>
          <w:rFonts w:ascii="Times New Roman" w:hAnsi="Times New Roman" w:cs="Times New Roman"/>
          <w:sz w:val="24"/>
          <w:szCs w:val="24"/>
        </w:rPr>
        <w:t xml:space="preserve"> (</w:t>
      </w:r>
      <w:r w:rsidR="005801A8" w:rsidRPr="00BB104F">
        <w:rPr>
          <w:rFonts w:ascii="Times New Roman" w:hAnsi="Times New Roman" w:cs="Times New Roman"/>
          <w:sz w:val="24"/>
          <w:szCs w:val="24"/>
        </w:rPr>
        <w:t>Nevin, 2015</w:t>
      </w:r>
      <w:r w:rsidR="005801A8" w:rsidRPr="00BB104F">
        <w:rPr>
          <w:rFonts w:ascii="Times New Roman" w:hAnsi="Times New Roman" w:cs="Times New Roman"/>
          <w:sz w:val="24"/>
          <w:szCs w:val="24"/>
        </w:rPr>
        <w:t>)</w:t>
      </w:r>
      <w:r w:rsidRPr="00BB104F">
        <w:rPr>
          <w:rFonts w:ascii="Times New Roman" w:hAnsi="Times New Roman" w:cs="Times New Roman"/>
          <w:sz w:val="24"/>
          <w:szCs w:val="24"/>
        </w:rPr>
        <w:t>. Therefore diagnosis is done following microscopic examination of the specimen and serological tests. The specimens often collected for the laboratory testing of syphilis include tissues for the skin lesions. These are then subjected to dark field microscopy where diagnosis of syphilis is made on observation of motile spirochetes in dark field illumination</w:t>
      </w:r>
      <w:r w:rsidR="005801A8" w:rsidRPr="00BB104F">
        <w:rPr>
          <w:rFonts w:ascii="Times New Roman" w:hAnsi="Times New Roman" w:cs="Times New Roman"/>
          <w:sz w:val="24"/>
          <w:szCs w:val="24"/>
        </w:rPr>
        <w:t xml:space="preserve"> (</w:t>
      </w:r>
      <w:r w:rsidR="005801A8" w:rsidRPr="00BB104F">
        <w:rPr>
          <w:rFonts w:ascii="Times New Roman" w:hAnsi="Times New Roman" w:cs="Times New Roman"/>
          <w:sz w:val="24"/>
          <w:szCs w:val="24"/>
        </w:rPr>
        <w:t>Nevin, 2015</w:t>
      </w:r>
      <w:r w:rsidR="005801A8" w:rsidRPr="00BB104F">
        <w:rPr>
          <w:rFonts w:ascii="Times New Roman" w:hAnsi="Times New Roman" w:cs="Times New Roman"/>
          <w:sz w:val="24"/>
          <w:szCs w:val="24"/>
        </w:rPr>
        <w:t>)</w:t>
      </w:r>
      <w:r w:rsidRPr="00BB104F">
        <w:rPr>
          <w:rFonts w:ascii="Times New Roman" w:hAnsi="Times New Roman" w:cs="Times New Roman"/>
          <w:sz w:val="24"/>
          <w:szCs w:val="24"/>
        </w:rPr>
        <w:t>. Secondly, immunofluorescence staining of the tissue sample can be conducted and the tissue examined under an immune-fluorescence microscopy for fluorescent spirochetes</w:t>
      </w:r>
      <w:r w:rsidR="005801A8" w:rsidRPr="00BB104F">
        <w:rPr>
          <w:rFonts w:ascii="Times New Roman" w:hAnsi="Times New Roman" w:cs="Times New Roman"/>
          <w:sz w:val="24"/>
          <w:szCs w:val="24"/>
        </w:rPr>
        <w:t xml:space="preserve"> (</w:t>
      </w:r>
      <w:r w:rsidR="005801A8" w:rsidRPr="00BB104F">
        <w:rPr>
          <w:rFonts w:ascii="Times New Roman" w:hAnsi="Times New Roman" w:cs="Times New Roman"/>
          <w:sz w:val="24"/>
          <w:szCs w:val="24"/>
        </w:rPr>
        <w:t>Nevin, 2015</w:t>
      </w:r>
      <w:r w:rsidR="005801A8" w:rsidRPr="00BB104F">
        <w:rPr>
          <w:rFonts w:ascii="Times New Roman" w:hAnsi="Times New Roman" w:cs="Times New Roman"/>
          <w:sz w:val="24"/>
          <w:szCs w:val="24"/>
        </w:rPr>
        <w:t>)</w:t>
      </w:r>
      <w:r w:rsidRPr="00BB104F">
        <w:rPr>
          <w:rFonts w:ascii="Times New Roman" w:hAnsi="Times New Roman" w:cs="Times New Roman"/>
          <w:sz w:val="24"/>
          <w:szCs w:val="24"/>
        </w:rPr>
        <w:t>. Serological tests for Treponema pallidum use the serum as the specimen of choice in which non-treponemal antigen tests can be used to identify the antigen cardiolipin from the heart of a cow</w:t>
      </w:r>
      <w:r w:rsidR="005801A8" w:rsidRPr="00BB104F">
        <w:rPr>
          <w:rFonts w:ascii="Times New Roman" w:hAnsi="Times New Roman" w:cs="Times New Roman"/>
          <w:sz w:val="24"/>
          <w:szCs w:val="24"/>
        </w:rPr>
        <w:t xml:space="preserve"> </w:t>
      </w:r>
      <w:r w:rsidR="005801A8" w:rsidRPr="00BB104F">
        <w:rPr>
          <w:rFonts w:ascii="Times New Roman" w:hAnsi="Times New Roman" w:cs="Times New Roman"/>
          <w:sz w:val="24"/>
          <w:szCs w:val="24"/>
        </w:rPr>
        <w:lastRenderedPageBreak/>
        <w:t>(</w:t>
      </w:r>
      <w:r w:rsidR="005801A8" w:rsidRPr="00BB104F">
        <w:rPr>
          <w:rFonts w:ascii="Times New Roman" w:hAnsi="Times New Roman" w:cs="Times New Roman"/>
          <w:sz w:val="24"/>
          <w:szCs w:val="24"/>
        </w:rPr>
        <w:t>Nevin, 2015</w:t>
      </w:r>
      <w:r w:rsidR="005801A8" w:rsidRPr="00BB104F">
        <w:rPr>
          <w:rFonts w:ascii="Times New Roman" w:hAnsi="Times New Roman" w:cs="Times New Roman"/>
          <w:sz w:val="24"/>
          <w:szCs w:val="24"/>
        </w:rPr>
        <w:t>)</w:t>
      </w:r>
      <w:r w:rsidRPr="00BB104F">
        <w:rPr>
          <w:rFonts w:ascii="Times New Roman" w:hAnsi="Times New Roman" w:cs="Times New Roman"/>
          <w:sz w:val="24"/>
          <w:szCs w:val="24"/>
        </w:rPr>
        <w:t>. Under serologic tests, antigen-antibody reactions can be used to detect the microorganism using VDRL and or RPR which turn positive after 2- to 3- weeks of untreated syphilitic infection but revert to negative within 6- to 18- months of effective therapy</w:t>
      </w:r>
      <w:r w:rsidR="00DB5C70" w:rsidRPr="00BB104F">
        <w:rPr>
          <w:rFonts w:ascii="Times New Roman" w:hAnsi="Times New Roman" w:cs="Times New Roman"/>
          <w:sz w:val="24"/>
          <w:szCs w:val="24"/>
        </w:rPr>
        <w:t xml:space="preserve"> ()</w:t>
      </w:r>
      <w:r w:rsidRPr="00BB104F">
        <w:rPr>
          <w:rFonts w:ascii="Times New Roman" w:hAnsi="Times New Roman" w:cs="Times New Roman"/>
          <w:sz w:val="24"/>
          <w:szCs w:val="24"/>
        </w:rPr>
        <w:t xml:space="preserve">. </w:t>
      </w:r>
      <w:r w:rsidR="00DB5C70" w:rsidRPr="00BB104F">
        <w:rPr>
          <w:rFonts w:ascii="Times New Roman" w:hAnsi="Times New Roman" w:cs="Times New Roman"/>
          <w:sz w:val="24"/>
          <w:szCs w:val="24"/>
        </w:rPr>
        <w:t>Complement fixation tests, namely, Wasserman test and Kolmer test can also be used in the diagnosis</w:t>
      </w:r>
      <w:r w:rsidR="005801A8" w:rsidRPr="00BB104F">
        <w:rPr>
          <w:rFonts w:ascii="Times New Roman" w:hAnsi="Times New Roman" w:cs="Times New Roman"/>
          <w:sz w:val="24"/>
          <w:szCs w:val="24"/>
        </w:rPr>
        <w:t xml:space="preserve"> (</w:t>
      </w:r>
      <w:r w:rsidR="005801A8" w:rsidRPr="00BB104F">
        <w:rPr>
          <w:rFonts w:ascii="Times New Roman" w:hAnsi="Times New Roman" w:cs="Times New Roman"/>
          <w:sz w:val="24"/>
          <w:szCs w:val="24"/>
        </w:rPr>
        <w:t>Nevin, 2015</w:t>
      </w:r>
      <w:r w:rsidR="005801A8" w:rsidRPr="00BB104F">
        <w:rPr>
          <w:rFonts w:ascii="Times New Roman" w:hAnsi="Times New Roman" w:cs="Times New Roman"/>
          <w:sz w:val="24"/>
          <w:szCs w:val="24"/>
        </w:rPr>
        <w:t>)</w:t>
      </w:r>
      <w:r w:rsidR="00DB5C70" w:rsidRPr="00BB104F">
        <w:rPr>
          <w:rFonts w:ascii="Times New Roman" w:hAnsi="Times New Roman" w:cs="Times New Roman"/>
          <w:sz w:val="24"/>
          <w:szCs w:val="24"/>
        </w:rPr>
        <w:t>. Both flocculation and complement fixation tests are valuable in establishing diagnosis of syphilis and in evaluation of the effectiveness of chemotherapy. However, they tend to tend to be non-specific</w:t>
      </w:r>
      <w:r w:rsidR="005801A8" w:rsidRPr="00BB104F">
        <w:rPr>
          <w:rFonts w:ascii="Times New Roman" w:hAnsi="Times New Roman" w:cs="Times New Roman"/>
          <w:sz w:val="24"/>
          <w:szCs w:val="24"/>
        </w:rPr>
        <w:t xml:space="preserve"> (</w:t>
      </w:r>
      <w:r w:rsidR="005801A8" w:rsidRPr="00BB104F">
        <w:rPr>
          <w:rFonts w:ascii="Times New Roman" w:hAnsi="Times New Roman" w:cs="Times New Roman"/>
          <w:sz w:val="24"/>
          <w:szCs w:val="24"/>
        </w:rPr>
        <w:t>Nevin, 2015</w:t>
      </w:r>
      <w:r w:rsidR="005801A8" w:rsidRPr="00BB104F">
        <w:rPr>
          <w:rFonts w:ascii="Times New Roman" w:hAnsi="Times New Roman" w:cs="Times New Roman"/>
          <w:sz w:val="24"/>
          <w:szCs w:val="24"/>
        </w:rPr>
        <w:t>)</w:t>
      </w:r>
      <w:r w:rsidR="00DB5C70" w:rsidRPr="00BB104F">
        <w:rPr>
          <w:rFonts w:ascii="Times New Roman" w:hAnsi="Times New Roman" w:cs="Times New Roman"/>
          <w:sz w:val="24"/>
          <w:szCs w:val="24"/>
        </w:rPr>
        <w:t xml:space="preserve">. </w:t>
      </w:r>
      <w:r w:rsidR="00DB7A8C" w:rsidRPr="00BB104F">
        <w:rPr>
          <w:rFonts w:ascii="Times New Roman" w:hAnsi="Times New Roman" w:cs="Times New Roman"/>
          <w:sz w:val="24"/>
          <w:szCs w:val="24"/>
        </w:rPr>
        <w:t>Lastly, treponemal antibody tests, notably, fluorescent treponemal antibody-absorption test (FTA-abs</w:t>
      </w:r>
      <w:r w:rsidR="00DB7A8C">
        <w:rPr>
          <w:rFonts w:ascii="Times New Roman" w:hAnsi="Times New Roman" w:cs="Times New Roman"/>
          <w:sz w:val="24"/>
          <w:szCs w:val="24"/>
        </w:rPr>
        <w:t xml:space="preserve">) </w:t>
      </w:r>
      <w:r w:rsidR="00DB7A8C" w:rsidRPr="00BB104F">
        <w:rPr>
          <w:rFonts w:ascii="Times New Roman" w:hAnsi="Times New Roman" w:cs="Times New Roman"/>
          <w:sz w:val="24"/>
          <w:szCs w:val="24"/>
        </w:rPr>
        <w:t>and Treponema pallidum –particle agglutination test (TP-PA) can also be done to help in the diagnosis of the disease (</w:t>
      </w:r>
      <w:r w:rsidR="00DB7A8C" w:rsidRPr="00BB104F">
        <w:rPr>
          <w:rFonts w:ascii="Times New Roman" w:hAnsi="Times New Roman" w:cs="Times New Roman"/>
          <w:sz w:val="24"/>
          <w:szCs w:val="24"/>
        </w:rPr>
        <w:t>Nevin, 2015</w:t>
      </w:r>
      <w:r w:rsidR="00DB7A8C" w:rsidRPr="00BB104F">
        <w:rPr>
          <w:rFonts w:ascii="Times New Roman" w:hAnsi="Times New Roman" w:cs="Times New Roman"/>
          <w:sz w:val="24"/>
          <w:szCs w:val="24"/>
        </w:rPr>
        <w:t xml:space="preserve">). </w:t>
      </w:r>
    </w:p>
    <w:p w:rsidR="004D51B3" w:rsidRPr="00614F14" w:rsidRDefault="004D51B3" w:rsidP="00614F14">
      <w:pPr>
        <w:spacing w:line="480" w:lineRule="auto"/>
        <w:jc w:val="center"/>
        <w:rPr>
          <w:rFonts w:ascii="Times New Roman" w:hAnsi="Times New Roman" w:cs="Times New Roman"/>
          <w:b/>
          <w:sz w:val="24"/>
          <w:szCs w:val="24"/>
        </w:rPr>
      </w:pPr>
      <w:r w:rsidRPr="00614F14">
        <w:rPr>
          <w:rFonts w:ascii="Times New Roman" w:hAnsi="Times New Roman" w:cs="Times New Roman"/>
          <w:b/>
          <w:sz w:val="24"/>
          <w:szCs w:val="24"/>
        </w:rPr>
        <w:t>Treatment Options</w:t>
      </w:r>
    </w:p>
    <w:p w:rsidR="004D51B3" w:rsidRPr="00BB104F" w:rsidRDefault="004D51B3" w:rsidP="00BB104F">
      <w:pPr>
        <w:spacing w:line="480" w:lineRule="auto"/>
        <w:ind w:firstLine="720"/>
        <w:rPr>
          <w:rFonts w:ascii="Times New Roman" w:hAnsi="Times New Roman" w:cs="Times New Roman"/>
          <w:sz w:val="24"/>
          <w:szCs w:val="24"/>
        </w:rPr>
      </w:pPr>
      <w:r w:rsidRPr="00BB104F">
        <w:rPr>
          <w:rFonts w:ascii="Times New Roman" w:hAnsi="Times New Roman" w:cs="Times New Roman"/>
          <w:sz w:val="24"/>
          <w:szCs w:val="24"/>
        </w:rPr>
        <w:t>The drug</w:t>
      </w:r>
      <w:r w:rsidR="003D4D47" w:rsidRPr="00BB104F">
        <w:rPr>
          <w:rFonts w:ascii="Times New Roman" w:hAnsi="Times New Roman" w:cs="Times New Roman"/>
          <w:sz w:val="24"/>
          <w:szCs w:val="24"/>
        </w:rPr>
        <w:t>s</w:t>
      </w:r>
      <w:r w:rsidRPr="00BB104F">
        <w:rPr>
          <w:rFonts w:ascii="Times New Roman" w:hAnsi="Times New Roman" w:cs="Times New Roman"/>
          <w:sz w:val="24"/>
          <w:szCs w:val="24"/>
        </w:rPr>
        <w:t xml:space="preserve"> of choice in the </w:t>
      </w:r>
      <w:r w:rsidR="003D4D47" w:rsidRPr="00BB104F">
        <w:rPr>
          <w:rFonts w:ascii="Times New Roman" w:hAnsi="Times New Roman" w:cs="Times New Roman"/>
          <w:sz w:val="24"/>
          <w:szCs w:val="24"/>
        </w:rPr>
        <w:t xml:space="preserve">treatment of gonorrhea are </w:t>
      </w:r>
      <w:r w:rsidRPr="00BB104F">
        <w:rPr>
          <w:rFonts w:ascii="Times New Roman" w:hAnsi="Times New Roman" w:cs="Times New Roman"/>
          <w:sz w:val="24"/>
          <w:szCs w:val="24"/>
        </w:rPr>
        <w:t xml:space="preserve">the </w:t>
      </w:r>
      <w:r w:rsidR="003D4D47" w:rsidRPr="00BB104F">
        <w:rPr>
          <w:rFonts w:ascii="Times New Roman" w:hAnsi="Times New Roman" w:cs="Times New Roman"/>
          <w:sz w:val="24"/>
          <w:szCs w:val="24"/>
        </w:rPr>
        <w:t>fourth</w:t>
      </w:r>
      <w:r w:rsidRPr="00BB104F">
        <w:rPr>
          <w:rFonts w:ascii="Times New Roman" w:hAnsi="Times New Roman" w:cs="Times New Roman"/>
          <w:sz w:val="24"/>
          <w:szCs w:val="24"/>
        </w:rPr>
        <w:t xml:space="preserve"> generation</w:t>
      </w:r>
      <w:r w:rsidR="003D4D47" w:rsidRPr="00BB104F">
        <w:rPr>
          <w:rFonts w:ascii="Times New Roman" w:hAnsi="Times New Roman" w:cs="Times New Roman"/>
          <w:sz w:val="24"/>
          <w:szCs w:val="24"/>
        </w:rPr>
        <w:t xml:space="preserve"> cephalosporin the prototype being ceftriaxone and the fluoroquinolones the prototype being ciprofloxacin</w:t>
      </w:r>
      <w:r w:rsidR="005801A8" w:rsidRPr="00BB104F">
        <w:rPr>
          <w:rFonts w:ascii="Times New Roman" w:hAnsi="Times New Roman" w:cs="Times New Roman"/>
          <w:sz w:val="24"/>
          <w:szCs w:val="24"/>
        </w:rPr>
        <w:t xml:space="preserve"> (</w:t>
      </w:r>
      <w:r w:rsidR="005801A8" w:rsidRPr="00BB104F">
        <w:rPr>
          <w:rFonts w:ascii="Times New Roman" w:hAnsi="Times New Roman" w:cs="Times New Roman"/>
          <w:sz w:val="24"/>
          <w:szCs w:val="24"/>
        </w:rPr>
        <w:t>Hedley &amp; Daramola, 2020</w:t>
      </w:r>
      <w:r w:rsidR="005801A8" w:rsidRPr="00BB104F">
        <w:rPr>
          <w:rFonts w:ascii="Times New Roman" w:hAnsi="Times New Roman" w:cs="Times New Roman"/>
          <w:sz w:val="24"/>
          <w:szCs w:val="24"/>
        </w:rPr>
        <w:t>)</w:t>
      </w:r>
      <w:r w:rsidR="003D4D47" w:rsidRPr="00BB104F">
        <w:rPr>
          <w:rFonts w:ascii="Times New Roman" w:hAnsi="Times New Roman" w:cs="Times New Roman"/>
          <w:sz w:val="24"/>
          <w:szCs w:val="24"/>
        </w:rPr>
        <w:t xml:space="preserve">. </w:t>
      </w:r>
      <w:r w:rsidRPr="00BB104F">
        <w:rPr>
          <w:rFonts w:ascii="Times New Roman" w:hAnsi="Times New Roman" w:cs="Times New Roman"/>
          <w:sz w:val="24"/>
          <w:szCs w:val="24"/>
        </w:rPr>
        <w:t xml:space="preserve"> </w:t>
      </w:r>
      <w:r w:rsidR="003D4D47" w:rsidRPr="00BB104F">
        <w:rPr>
          <w:rFonts w:ascii="Times New Roman" w:hAnsi="Times New Roman" w:cs="Times New Roman"/>
          <w:sz w:val="24"/>
          <w:szCs w:val="24"/>
        </w:rPr>
        <w:t>However, gonorrhea is a very troublesome disease to treat because of resistance to lots of antibiotics, especially in the developing countries. An example of the drug resistant strains include</w:t>
      </w:r>
      <w:r w:rsidR="00795BD1" w:rsidRPr="00BB104F">
        <w:rPr>
          <w:rFonts w:ascii="Times New Roman" w:hAnsi="Times New Roman" w:cs="Times New Roman"/>
          <w:sz w:val="24"/>
          <w:szCs w:val="24"/>
        </w:rPr>
        <w:t>s</w:t>
      </w:r>
      <w:r w:rsidR="003D4D47" w:rsidRPr="00BB104F">
        <w:rPr>
          <w:rFonts w:ascii="Times New Roman" w:hAnsi="Times New Roman" w:cs="Times New Roman"/>
          <w:sz w:val="24"/>
          <w:szCs w:val="24"/>
        </w:rPr>
        <w:t xml:space="preserve"> penicillinase-producing Neisseria gonorrhea (PPNG) strain that are resistant to penicillin. </w:t>
      </w:r>
      <w:r w:rsidR="004477D1" w:rsidRPr="00BB104F">
        <w:rPr>
          <w:rFonts w:ascii="Times New Roman" w:hAnsi="Times New Roman" w:cs="Times New Roman"/>
          <w:sz w:val="24"/>
          <w:szCs w:val="24"/>
        </w:rPr>
        <w:t>Topic antimicrobials such as ophthalmic ointment application or erythromycin or tetracycline to the conjunctiva of all newborns if often used as gonococcal ophthalmic neonatorum chemoprophylaxis agents</w:t>
      </w:r>
      <w:r w:rsidR="005801A8" w:rsidRPr="00BB104F">
        <w:rPr>
          <w:rFonts w:ascii="Times New Roman" w:hAnsi="Times New Roman" w:cs="Times New Roman"/>
          <w:sz w:val="24"/>
          <w:szCs w:val="24"/>
        </w:rPr>
        <w:t xml:space="preserve"> (</w:t>
      </w:r>
      <w:r w:rsidR="005801A8" w:rsidRPr="00BB104F">
        <w:rPr>
          <w:rFonts w:ascii="Times New Roman" w:hAnsi="Times New Roman" w:cs="Times New Roman"/>
          <w:sz w:val="24"/>
          <w:szCs w:val="24"/>
        </w:rPr>
        <w:t>Hedley &amp; Daramola, 2020</w:t>
      </w:r>
      <w:r w:rsidR="005801A8" w:rsidRPr="00BB104F">
        <w:rPr>
          <w:rFonts w:ascii="Times New Roman" w:hAnsi="Times New Roman" w:cs="Times New Roman"/>
          <w:sz w:val="24"/>
          <w:szCs w:val="24"/>
        </w:rPr>
        <w:t>)</w:t>
      </w:r>
      <w:r w:rsidR="004477D1" w:rsidRPr="00BB104F">
        <w:rPr>
          <w:rFonts w:ascii="Times New Roman" w:hAnsi="Times New Roman" w:cs="Times New Roman"/>
          <w:sz w:val="24"/>
          <w:szCs w:val="24"/>
        </w:rPr>
        <w:t>.</w:t>
      </w:r>
      <w:r w:rsidR="005801A8" w:rsidRPr="00BB104F">
        <w:rPr>
          <w:rFonts w:ascii="Times New Roman" w:hAnsi="Times New Roman" w:cs="Times New Roman"/>
          <w:sz w:val="24"/>
          <w:szCs w:val="24"/>
        </w:rPr>
        <w:t xml:space="preserve"> </w:t>
      </w:r>
      <w:r w:rsidR="004477D1" w:rsidRPr="00BB104F">
        <w:rPr>
          <w:rFonts w:ascii="Times New Roman" w:hAnsi="Times New Roman" w:cs="Times New Roman"/>
          <w:sz w:val="24"/>
          <w:szCs w:val="24"/>
        </w:rPr>
        <w:t xml:space="preserve"> </w:t>
      </w:r>
    </w:p>
    <w:p w:rsidR="00DB5C70" w:rsidRPr="00BB104F" w:rsidRDefault="00DB5C70" w:rsidP="00BB104F">
      <w:pPr>
        <w:spacing w:line="480" w:lineRule="auto"/>
        <w:ind w:firstLine="720"/>
        <w:rPr>
          <w:rFonts w:ascii="Times New Roman" w:hAnsi="Times New Roman" w:cs="Times New Roman"/>
          <w:sz w:val="24"/>
          <w:szCs w:val="24"/>
        </w:rPr>
      </w:pPr>
      <w:r w:rsidRPr="00BB104F">
        <w:rPr>
          <w:rFonts w:ascii="Times New Roman" w:hAnsi="Times New Roman" w:cs="Times New Roman"/>
          <w:sz w:val="24"/>
          <w:szCs w:val="24"/>
        </w:rPr>
        <w:t xml:space="preserve">The drugs of choice in the treatment of syphilis include Benzathine penicillin </w:t>
      </w:r>
      <w:r w:rsidR="00D05DF5" w:rsidRPr="00BB104F">
        <w:rPr>
          <w:rFonts w:ascii="Times New Roman" w:hAnsi="Times New Roman" w:cs="Times New Roman"/>
          <w:sz w:val="24"/>
          <w:szCs w:val="24"/>
        </w:rPr>
        <w:t xml:space="preserve">for 2 weeks </w:t>
      </w:r>
      <w:r w:rsidRPr="00BB104F">
        <w:rPr>
          <w:rFonts w:ascii="Times New Roman" w:hAnsi="Times New Roman" w:cs="Times New Roman"/>
          <w:sz w:val="24"/>
          <w:szCs w:val="24"/>
        </w:rPr>
        <w:t xml:space="preserve">or procaine penicillin </w:t>
      </w:r>
      <w:r w:rsidR="00D05DF5" w:rsidRPr="00BB104F">
        <w:rPr>
          <w:rFonts w:ascii="Times New Roman" w:hAnsi="Times New Roman" w:cs="Times New Roman"/>
          <w:sz w:val="24"/>
          <w:szCs w:val="24"/>
        </w:rPr>
        <w:t xml:space="preserve">for ten days </w:t>
      </w:r>
      <w:r w:rsidRPr="00BB104F">
        <w:rPr>
          <w:rFonts w:ascii="Times New Roman" w:hAnsi="Times New Roman" w:cs="Times New Roman"/>
          <w:sz w:val="24"/>
          <w:szCs w:val="24"/>
        </w:rPr>
        <w:t xml:space="preserve">in early syphilis (of less than </w:t>
      </w:r>
      <w:r w:rsidR="00D05DF5" w:rsidRPr="00BB104F">
        <w:rPr>
          <w:rFonts w:ascii="Times New Roman" w:hAnsi="Times New Roman" w:cs="Times New Roman"/>
          <w:sz w:val="24"/>
          <w:szCs w:val="24"/>
        </w:rPr>
        <w:t>1 year duration</w:t>
      </w:r>
      <w:r w:rsidRPr="00BB104F">
        <w:rPr>
          <w:rFonts w:ascii="Times New Roman" w:hAnsi="Times New Roman" w:cs="Times New Roman"/>
          <w:sz w:val="24"/>
          <w:szCs w:val="24"/>
        </w:rPr>
        <w:t>)</w:t>
      </w:r>
      <w:r w:rsidR="00D05DF5" w:rsidRPr="00BB104F">
        <w:rPr>
          <w:rFonts w:ascii="Times New Roman" w:hAnsi="Times New Roman" w:cs="Times New Roman"/>
          <w:sz w:val="24"/>
          <w:szCs w:val="24"/>
        </w:rPr>
        <w:t>. In cases of penicillin allergies</w:t>
      </w:r>
      <w:r w:rsidRPr="00BB104F">
        <w:rPr>
          <w:rFonts w:ascii="Times New Roman" w:hAnsi="Times New Roman" w:cs="Times New Roman"/>
          <w:sz w:val="24"/>
          <w:szCs w:val="24"/>
        </w:rPr>
        <w:t>, erythromycin</w:t>
      </w:r>
      <w:r w:rsidR="00D05DF5" w:rsidRPr="00BB104F">
        <w:rPr>
          <w:rFonts w:ascii="Times New Roman" w:hAnsi="Times New Roman" w:cs="Times New Roman"/>
          <w:sz w:val="24"/>
          <w:szCs w:val="24"/>
        </w:rPr>
        <w:t xml:space="preserve"> or tetracycline 500 mg QDS for 15 days is used or doxycycline </w:t>
      </w:r>
      <w:r w:rsidR="00D05DF5" w:rsidRPr="00BB104F">
        <w:rPr>
          <w:rFonts w:ascii="Times New Roman" w:hAnsi="Times New Roman" w:cs="Times New Roman"/>
          <w:sz w:val="24"/>
          <w:szCs w:val="24"/>
        </w:rPr>
        <w:lastRenderedPageBreak/>
        <w:t>100mg once daily for 15 days.</w:t>
      </w:r>
      <w:r w:rsidRPr="00BB104F">
        <w:rPr>
          <w:rFonts w:ascii="Times New Roman" w:hAnsi="Times New Roman" w:cs="Times New Roman"/>
          <w:sz w:val="24"/>
          <w:szCs w:val="24"/>
        </w:rPr>
        <w:t xml:space="preserve"> </w:t>
      </w:r>
      <w:r w:rsidR="00556869" w:rsidRPr="00BB104F">
        <w:rPr>
          <w:rFonts w:ascii="Times New Roman" w:hAnsi="Times New Roman" w:cs="Times New Roman"/>
          <w:sz w:val="24"/>
          <w:szCs w:val="24"/>
        </w:rPr>
        <w:t>For congenital syphilis, treatment is with aqueous benzyl penicillin</w:t>
      </w:r>
      <w:r w:rsidR="00E45E7D" w:rsidRPr="00BB104F">
        <w:rPr>
          <w:rFonts w:ascii="Times New Roman" w:hAnsi="Times New Roman" w:cs="Times New Roman"/>
          <w:sz w:val="24"/>
          <w:szCs w:val="24"/>
        </w:rPr>
        <w:t xml:space="preserve"> 100 000 – 150 000 U/Kg/day intravenously for 10 to 15 days or with procaine penicillin 50 000 U/Kg/day intramuscularly for 10 to 15 days (WHO, 2016). </w:t>
      </w:r>
    </w:p>
    <w:p w:rsidR="004477D1" w:rsidRPr="00614F14" w:rsidRDefault="004477D1" w:rsidP="00614F14">
      <w:pPr>
        <w:spacing w:line="480" w:lineRule="auto"/>
        <w:jc w:val="center"/>
        <w:rPr>
          <w:rFonts w:ascii="Times New Roman" w:hAnsi="Times New Roman" w:cs="Times New Roman"/>
          <w:b/>
          <w:sz w:val="24"/>
          <w:szCs w:val="24"/>
        </w:rPr>
      </w:pPr>
      <w:r w:rsidRPr="00614F14">
        <w:rPr>
          <w:rFonts w:ascii="Times New Roman" w:hAnsi="Times New Roman" w:cs="Times New Roman"/>
          <w:b/>
          <w:sz w:val="24"/>
          <w:szCs w:val="24"/>
        </w:rPr>
        <w:t>Failure Rate of the chosen Therapeutic</w:t>
      </w:r>
    </w:p>
    <w:p w:rsidR="00197977" w:rsidRPr="00BB104F" w:rsidRDefault="00556869" w:rsidP="00BB104F">
      <w:pPr>
        <w:spacing w:line="480" w:lineRule="auto"/>
        <w:ind w:firstLine="720"/>
        <w:rPr>
          <w:rFonts w:ascii="Times New Roman" w:hAnsi="Times New Roman" w:cs="Times New Roman"/>
          <w:sz w:val="24"/>
          <w:szCs w:val="24"/>
        </w:rPr>
      </w:pPr>
      <w:r w:rsidRPr="00BB104F">
        <w:rPr>
          <w:rFonts w:ascii="Times New Roman" w:hAnsi="Times New Roman" w:cs="Times New Roman"/>
          <w:sz w:val="24"/>
          <w:szCs w:val="24"/>
        </w:rPr>
        <w:t xml:space="preserve">The rates of failure of treatment with the chosen therapeutics in gonorrhea are correlated with the increasing incidence rates of multi-drug resistance between the strains of </w:t>
      </w:r>
      <w:r w:rsidRPr="00BB104F">
        <w:rPr>
          <w:rFonts w:ascii="Times New Roman" w:hAnsi="Times New Roman" w:cs="Times New Roman"/>
          <w:i/>
          <w:sz w:val="24"/>
          <w:szCs w:val="24"/>
        </w:rPr>
        <w:t>Neisseria</w:t>
      </w:r>
      <w:r w:rsidRPr="00BB104F">
        <w:rPr>
          <w:rFonts w:ascii="Times New Roman" w:hAnsi="Times New Roman" w:cs="Times New Roman"/>
          <w:sz w:val="24"/>
          <w:szCs w:val="24"/>
        </w:rPr>
        <w:t>. The rates of failure of treatment for gonorrhea are as follows: 0.3% azithromycin-resistant, 1% cefixime-resistant, 14.7% ciprofloxacin resistant, and 33.4% resistance to penicillin, tetracycline, ciprofloxacin, or a combination of these agents (</w:t>
      </w:r>
      <w:r w:rsidR="00DB7A8C" w:rsidRPr="00BB104F">
        <w:rPr>
          <w:rFonts w:ascii="Times New Roman" w:hAnsi="Times New Roman" w:cs="Times New Roman"/>
          <w:sz w:val="24"/>
          <w:szCs w:val="24"/>
        </w:rPr>
        <w:t>Krupp &amp;</w:t>
      </w:r>
      <w:r w:rsidRPr="00BB104F">
        <w:rPr>
          <w:rFonts w:ascii="Times New Roman" w:hAnsi="Times New Roman" w:cs="Times New Roman"/>
          <w:sz w:val="24"/>
          <w:szCs w:val="24"/>
        </w:rPr>
        <w:t xml:space="preserve"> Madhivanan, 2015).</w:t>
      </w:r>
    </w:p>
    <w:p w:rsidR="00556869" w:rsidRPr="00BB104F" w:rsidRDefault="00556869" w:rsidP="00BB104F">
      <w:pPr>
        <w:spacing w:line="480" w:lineRule="auto"/>
        <w:ind w:firstLine="720"/>
        <w:rPr>
          <w:rFonts w:ascii="Times New Roman" w:hAnsi="Times New Roman" w:cs="Times New Roman"/>
          <w:sz w:val="24"/>
          <w:szCs w:val="24"/>
        </w:rPr>
      </w:pPr>
      <w:r w:rsidRPr="00BB104F">
        <w:rPr>
          <w:rFonts w:ascii="Times New Roman" w:hAnsi="Times New Roman" w:cs="Times New Roman"/>
          <w:sz w:val="24"/>
          <w:szCs w:val="24"/>
        </w:rPr>
        <w:t>With syphilis, there is a 20% failure rate of treatment depending on the stage of the disease being treated (</w:t>
      </w:r>
      <w:r w:rsidR="00197977" w:rsidRPr="00BB104F">
        <w:rPr>
          <w:rFonts w:ascii="Times New Roman" w:hAnsi="Times New Roman" w:cs="Times New Roman"/>
          <w:sz w:val="24"/>
          <w:szCs w:val="24"/>
        </w:rPr>
        <w:t>Clement, Okeke, &amp; Hicks, 2019</w:t>
      </w:r>
      <w:r w:rsidRPr="00BB104F">
        <w:rPr>
          <w:rFonts w:ascii="Times New Roman" w:hAnsi="Times New Roman" w:cs="Times New Roman"/>
          <w:sz w:val="24"/>
          <w:szCs w:val="24"/>
        </w:rPr>
        <w:t>).</w:t>
      </w:r>
      <w:r w:rsidR="00197977" w:rsidRPr="00BB104F">
        <w:rPr>
          <w:rFonts w:ascii="Times New Roman" w:hAnsi="Times New Roman" w:cs="Times New Roman"/>
          <w:sz w:val="24"/>
          <w:szCs w:val="24"/>
        </w:rPr>
        <w:t xml:space="preserve"> Regarding the therapeutic chosen, there is 18% failure rate of treatment with usual therapy and, 17% with enhanced therapy at 6 months and 14% with enhanced therapy at 12 months (Clement, Okeke, &amp; Hicks, 2019).</w:t>
      </w:r>
    </w:p>
    <w:p w:rsidR="00795BD1" w:rsidRPr="00614F14" w:rsidRDefault="00795BD1" w:rsidP="00614F14">
      <w:pPr>
        <w:spacing w:line="480" w:lineRule="auto"/>
        <w:jc w:val="center"/>
        <w:rPr>
          <w:rFonts w:ascii="Times New Roman" w:hAnsi="Times New Roman" w:cs="Times New Roman"/>
          <w:b/>
          <w:sz w:val="24"/>
          <w:szCs w:val="24"/>
        </w:rPr>
      </w:pPr>
      <w:r w:rsidRPr="00614F14">
        <w:rPr>
          <w:rFonts w:ascii="Times New Roman" w:hAnsi="Times New Roman" w:cs="Times New Roman"/>
          <w:b/>
          <w:sz w:val="24"/>
          <w:szCs w:val="24"/>
        </w:rPr>
        <w:t>Patient education</w:t>
      </w:r>
      <w:r w:rsidR="00A52B6F" w:rsidRPr="00614F14">
        <w:rPr>
          <w:rFonts w:ascii="Times New Roman" w:hAnsi="Times New Roman" w:cs="Times New Roman"/>
          <w:b/>
          <w:sz w:val="24"/>
          <w:szCs w:val="24"/>
        </w:rPr>
        <w:t xml:space="preserve"> plan and follow-up</w:t>
      </w:r>
    </w:p>
    <w:p w:rsidR="00D05DF5" w:rsidRPr="00BB104F" w:rsidRDefault="00795BD1" w:rsidP="00AF5BC3">
      <w:pPr>
        <w:spacing w:line="480" w:lineRule="auto"/>
        <w:ind w:firstLine="720"/>
        <w:rPr>
          <w:rFonts w:ascii="Times New Roman" w:hAnsi="Times New Roman" w:cs="Times New Roman"/>
          <w:sz w:val="24"/>
          <w:szCs w:val="24"/>
        </w:rPr>
      </w:pPr>
      <w:r w:rsidRPr="00BB104F">
        <w:rPr>
          <w:rFonts w:ascii="Times New Roman" w:hAnsi="Times New Roman" w:cs="Times New Roman"/>
          <w:sz w:val="24"/>
          <w:szCs w:val="24"/>
        </w:rPr>
        <w:t xml:space="preserve">The primary focus of patient education is instituting the disease prevention and control measures. The patient should be advised </w:t>
      </w:r>
      <w:r w:rsidR="00FD4D2D">
        <w:rPr>
          <w:rFonts w:ascii="Times New Roman" w:hAnsi="Times New Roman" w:cs="Times New Roman"/>
          <w:sz w:val="24"/>
          <w:szCs w:val="24"/>
        </w:rPr>
        <w:t xml:space="preserve">apply safe sex practices, namely, </w:t>
      </w:r>
      <w:r w:rsidRPr="00BB104F">
        <w:rPr>
          <w:rFonts w:ascii="Times New Roman" w:hAnsi="Times New Roman" w:cs="Times New Roman"/>
          <w:sz w:val="24"/>
          <w:szCs w:val="24"/>
        </w:rPr>
        <w:t>avoid</w:t>
      </w:r>
      <w:r w:rsidR="00FD4D2D">
        <w:rPr>
          <w:rFonts w:ascii="Times New Roman" w:hAnsi="Times New Roman" w:cs="Times New Roman"/>
          <w:sz w:val="24"/>
          <w:szCs w:val="24"/>
        </w:rPr>
        <w:t>ing</w:t>
      </w:r>
      <w:r w:rsidRPr="00BB104F">
        <w:rPr>
          <w:rFonts w:ascii="Times New Roman" w:hAnsi="Times New Roman" w:cs="Times New Roman"/>
          <w:sz w:val="24"/>
          <w:szCs w:val="24"/>
        </w:rPr>
        <w:t xml:space="preserve"> multiple sexual partners and employ</w:t>
      </w:r>
      <w:r w:rsidR="00FD4D2D">
        <w:rPr>
          <w:rFonts w:ascii="Times New Roman" w:hAnsi="Times New Roman" w:cs="Times New Roman"/>
          <w:sz w:val="24"/>
          <w:szCs w:val="24"/>
        </w:rPr>
        <w:t>ing</w:t>
      </w:r>
      <w:bookmarkStart w:id="0" w:name="_GoBack"/>
      <w:bookmarkEnd w:id="0"/>
      <w:r w:rsidRPr="00BB104F">
        <w:rPr>
          <w:rFonts w:ascii="Times New Roman" w:hAnsi="Times New Roman" w:cs="Times New Roman"/>
          <w:sz w:val="24"/>
          <w:szCs w:val="24"/>
        </w:rPr>
        <w:t xml:space="preserve"> mechanical protection methods such as the use of a condom during sexual contact. They should be asked to participate willingly and proactively in contact tracing to help treat the infected persons and further reduce the spread of the disease to other unsuspecting members of the population. </w:t>
      </w:r>
      <w:r w:rsidR="00D05DF5" w:rsidRPr="00BB104F">
        <w:rPr>
          <w:rFonts w:ascii="Times New Roman" w:hAnsi="Times New Roman" w:cs="Times New Roman"/>
          <w:sz w:val="24"/>
          <w:szCs w:val="24"/>
        </w:rPr>
        <w:t xml:space="preserve">Follow-up patient after therapy for any relapses and or resistance to the therapy and treat cases accordingly. </w:t>
      </w:r>
    </w:p>
    <w:p w:rsidR="00D05DF5" w:rsidRPr="00BB104F" w:rsidRDefault="00D05DF5" w:rsidP="001E41FB">
      <w:pPr>
        <w:spacing w:line="480" w:lineRule="auto"/>
        <w:jc w:val="center"/>
        <w:rPr>
          <w:rFonts w:ascii="Times New Roman" w:hAnsi="Times New Roman" w:cs="Times New Roman"/>
          <w:sz w:val="24"/>
          <w:szCs w:val="24"/>
        </w:rPr>
      </w:pPr>
      <w:r w:rsidRPr="00BB104F">
        <w:rPr>
          <w:rFonts w:ascii="Times New Roman" w:hAnsi="Times New Roman" w:cs="Times New Roman"/>
          <w:sz w:val="24"/>
          <w:szCs w:val="24"/>
        </w:rPr>
        <w:lastRenderedPageBreak/>
        <w:t>References</w:t>
      </w:r>
    </w:p>
    <w:p w:rsidR="00197977" w:rsidRPr="00BB104F" w:rsidRDefault="00197977" w:rsidP="001E41FB">
      <w:pPr>
        <w:spacing w:line="480" w:lineRule="auto"/>
        <w:ind w:left="720" w:hanging="720"/>
        <w:rPr>
          <w:rFonts w:ascii="Times New Roman" w:hAnsi="Times New Roman" w:cs="Times New Roman"/>
          <w:sz w:val="24"/>
          <w:szCs w:val="24"/>
        </w:rPr>
      </w:pPr>
      <w:r w:rsidRPr="00BB104F">
        <w:rPr>
          <w:rFonts w:ascii="Times New Roman" w:hAnsi="Times New Roman" w:cs="Times New Roman"/>
          <w:sz w:val="24"/>
          <w:szCs w:val="24"/>
        </w:rPr>
        <w:t>Clement, M., Okeke, L.</w:t>
      </w:r>
      <w:r w:rsidR="00DB7A8C" w:rsidRPr="00BB104F">
        <w:rPr>
          <w:rFonts w:ascii="Times New Roman" w:hAnsi="Times New Roman" w:cs="Times New Roman"/>
          <w:sz w:val="24"/>
          <w:szCs w:val="24"/>
        </w:rPr>
        <w:t>, &amp;</w:t>
      </w:r>
      <w:r w:rsidRPr="00BB104F">
        <w:rPr>
          <w:rFonts w:ascii="Times New Roman" w:hAnsi="Times New Roman" w:cs="Times New Roman"/>
          <w:sz w:val="24"/>
          <w:szCs w:val="24"/>
        </w:rPr>
        <w:t xml:space="preserve"> Hicks, C. (2019). Treatment of Syphilis: A Systematic Review. </w:t>
      </w:r>
      <w:r w:rsidRPr="00BB104F">
        <w:rPr>
          <w:rFonts w:ascii="Times New Roman" w:hAnsi="Times New Roman" w:cs="Times New Roman"/>
          <w:i/>
          <w:sz w:val="24"/>
          <w:szCs w:val="24"/>
        </w:rPr>
        <w:t>JAMA</w:t>
      </w:r>
      <w:r w:rsidRPr="00BB104F">
        <w:rPr>
          <w:rFonts w:ascii="Times New Roman" w:hAnsi="Times New Roman" w:cs="Times New Roman"/>
          <w:sz w:val="24"/>
          <w:szCs w:val="24"/>
        </w:rPr>
        <w:t>, 312(18): 1905-1917</w:t>
      </w:r>
    </w:p>
    <w:p w:rsidR="00197977" w:rsidRPr="00BB104F" w:rsidRDefault="00197977" w:rsidP="001E41FB">
      <w:pPr>
        <w:spacing w:line="480" w:lineRule="auto"/>
        <w:ind w:left="720" w:hanging="720"/>
        <w:rPr>
          <w:rFonts w:ascii="Times New Roman" w:hAnsi="Times New Roman" w:cs="Times New Roman"/>
          <w:sz w:val="24"/>
          <w:szCs w:val="24"/>
        </w:rPr>
      </w:pPr>
      <w:r w:rsidRPr="00BB104F">
        <w:rPr>
          <w:rFonts w:ascii="Times New Roman" w:hAnsi="Times New Roman" w:cs="Times New Roman"/>
          <w:sz w:val="24"/>
          <w:szCs w:val="24"/>
        </w:rPr>
        <w:t>Hedley, L. &amp; Daramola, Y. (2020). Gonorrhea infection: diagnosis and treatment. The Pharmaceutical Journal</w:t>
      </w:r>
    </w:p>
    <w:p w:rsidR="00556869" w:rsidRPr="00BB104F" w:rsidRDefault="00556869" w:rsidP="001E41FB">
      <w:pPr>
        <w:spacing w:line="480" w:lineRule="auto"/>
        <w:ind w:left="720" w:hanging="720"/>
        <w:rPr>
          <w:rFonts w:ascii="Times New Roman" w:hAnsi="Times New Roman" w:cs="Times New Roman"/>
          <w:sz w:val="24"/>
          <w:szCs w:val="24"/>
        </w:rPr>
      </w:pPr>
      <w:r w:rsidRPr="00BB104F">
        <w:rPr>
          <w:rFonts w:ascii="Times New Roman" w:hAnsi="Times New Roman" w:cs="Times New Roman"/>
          <w:sz w:val="24"/>
          <w:szCs w:val="24"/>
        </w:rPr>
        <w:t xml:space="preserve">Krupp, K. &amp; Madhivanan, P. (2015). Antibiotic resistance in prevalent bacterial and protozoan sexually transmitted infections. </w:t>
      </w:r>
      <w:r w:rsidRPr="00BB104F">
        <w:rPr>
          <w:rFonts w:ascii="Times New Roman" w:hAnsi="Times New Roman" w:cs="Times New Roman"/>
          <w:i/>
          <w:sz w:val="24"/>
          <w:szCs w:val="24"/>
        </w:rPr>
        <w:t>Indian J Sex Transm Dis AIDS</w:t>
      </w:r>
      <w:r w:rsidRPr="00BB104F">
        <w:rPr>
          <w:rFonts w:ascii="Times New Roman" w:hAnsi="Times New Roman" w:cs="Times New Roman"/>
          <w:sz w:val="24"/>
          <w:szCs w:val="24"/>
        </w:rPr>
        <w:t>, 36(1): 3-8</w:t>
      </w:r>
    </w:p>
    <w:p w:rsidR="00D05DF5" w:rsidRPr="00BB104F" w:rsidRDefault="00D05DF5" w:rsidP="001E41FB">
      <w:pPr>
        <w:spacing w:line="480" w:lineRule="auto"/>
        <w:ind w:left="720" w:hanging="720"/>
        <w:rPr>
          <w:rFonts w:ascii="Times New Roman" w:hAnsi="Times New Roman" w:cs="Times New Roman"/>
          <w:sz w:val="24"/>
          <w:szCs w:val="24"/>
        </w:rPr>
      </w:pPr>
      <w:r w:rsidRPr="00BB104F">
        <w:rPr>
          <w:rFonts w:ascii="Times New Roman" w:hAnsi="Times New Roman" w:cs="Times New Roman"/>
          <w:sz w:val="24"/>
          <w:szCs w:val="24"/>
        </w:rPr>
        <w:t xml:space="preserve">Kularatne, R., </w:t>
      </w:r>
      <w:r w:rsidR="00556869" w:rsidRPr="00BB104F">
        <w:rPr>
          <w:rFonts w:ascii="Times New Roman" w:hAnsi="Times New Roman" w:cs="Times New Roman"/>
          <w:sz w:val="24"/>
          <w:szCs w:val="24"/>
        </w:rPr>
        <w:t xml:space="preserve">Niit, R., Rowley, J., Kufa-Chakezha, T., Peters, R., Taylor, M., Johnson, L., &amp; Korenromp, E. (2018). Ault gonorrhea, chlamydia and syphilis prevalence, incidence, treatment and syndromic case reporting in South Africa: Estimates using the Spectrum-STI Model, 1990-2017. </w:t>
      </w:r>
      <w:r w:rsidR="00556869" w:rsidRPr="00BB104F">
        <w:rPr>
          <w:rFonts w:ascii="Times New Roman" w:hAnsi="Times New Roman" w:cs="Times New Roman"/>
          <w:i/>
          <w:sz w:val="24"/>
          <w:szCs w:val="24"/>
        </w:rPr>
        <w:t>PLoS One</w:t>
      </w:r>
      <w:r w:rsidR="00556869" w:rsidRPr="00BB104F">
        <w:rPr>
          <w:rFonts w:ascii="Times New Roman" w:hAnsi="Times New Roman" w:cs="Times New Roman"/>
          <w:sz w:val="24"/>
          <w:szCs w:val="24"/>
        </w:rPr>
        <w:t>, 13(10): e0205863</w:t>
      </w:r>
    </w:p>
    <w:p w:rsidR="005801A8" w:rsidRPr="00BB104F" w:rsidRDefault="005801A8" w:rsidP="001E41FB">
      <w:pPr>
        <w:spacing w:line="480" w:lineRule="auto"/>
        <w:ind w:left="720" w:hanging="720"/>
        <w:rPr>
          <w:rFonts w:ascii="Times New Roman" w:hAnsi="Times New Roman" w:cs="Times New Roman"/>
          <w:sz w:val="24"/>
          <w:szCs w:val="24"/>
        </w:rPr>
      </w:pPr>
      <w:r w:rsidRPr="00BB104F">
        <w:rPr>
          <w:rFonts w:ascii="Times New Roman" w:hAnsi="Times New Roman" w:cs="Times New Roman"/>
          <w:sz w:val="24"/>
          <w:szCs w:val="24"/>
        </w:rPr>
        <w:t xml:space="preserve">Nevin, W. (2015) Syphilis: diagnosis and management options. </w:t>
      </w:r>
      <w:r w:rsidRPr="00BB104F">
        <w:rPr>
          <w:rFonts w:ascii="Times New Roman" w:hAnsi="Times New Roman" w:cs="Times New Roman"/>
          <w:i/>
          <w:sz w:val="24"/>
          <w:szCs w:val="24"/>
        </w:rPr>
        <w:t>PLoS One</w:t>
      </w:r>
      <w:r w:rsidRPr="00BB104F">
        <w:rPr>
          <w:rFonts w:ascii="Times New Roman" w:hAnsi="Times New Roman" w:cs="Times New Roman"/>
          <w:sz w:val="24"/>
          <w:szCs w:val="24"/>
        </w:rPr>
        <w:t>, 10(12): e0143304</w:t>
      </w:r>
    </w:p>
    <w:p w:rsidR="00E45E7D" w:rsidRPr="00BB104F" w:rsidRDefault="00E45E7D" w:rsidP="001E41FB">
      <w:pPr>
        <w:spacing w:line="480" w:lineRule="auto"/>
        <w:ind w:left="720" w:hanging="720"/>
        <w:rPr>
          <w:rFonts w:ascii="Times New Roman" w:hAnsi="Times New Roman" w:cs="Times New Roman"/>
          <w:sz w:val="24"/>
          <w:szCs w:val="24"/>
        </w:rPr>
      </w:pPr>
      <w:r w:rsidRPr="00BB104F">
        <w:rPr>
          <w:rFonts w:ascii="Times New Roman" w:hAnsi="Times New Roman" w:cs="Times New Roman"/>
          <w:sz w:val="24"/>
          <w:szCs w:val="24"/>
        </w:rPr>
        <w:t xml:space="preserve">World Health Organization (WHO) (2016) </w:t>
      </w:r>
      <w:r w:rsidRPr="00BB104F">
        <w:rPr>
          <w:rFonts w:ascii="Times New Roman" w:hAnsi="Times New Roman" w:cs="Times New Roman"/>
          <w:i/>
          <w:sz w:val="24"/>
          <w:szCs w:val="24"/>
        </w:rPr>
        <w:t>WHO Guidelines for the Treatmnet of Treponema pallidum (Syphilis)</w:t>
      </w:r>
      <w:r w:rsidRPr="00BB104F">
        <w:rPr>
          <w:rFonts w:ascii="Times New Roman" w:hAnsi="Times New Roman" w:cs="Times New Roman"/>
          <w:sz w:val="24"/>
          <w:szCs w:val="24"/>
        </w:rPr>
        <w:t>. Geneva</w:t>
      </w:r>
    </w:p>
    <w:sectPr w:rsidR="00E45E7D" w:rsidRPr="00BB104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B92" w:rsidRDefault="006D2B92" w:rsidP="00BB104F">
      <w:pPr>
        <w:spacing w:after="0" w:line="240" w:lineRule="auto"/>
      </w:pPr>
      <w:r>
        <w:separator/>
      </w:r>
    </w:p>
  </w:endnote>
  <w:endnote w:type="continuationSeparator" w:id="0">
    <w:p w:rsidR="006D2B92" w:rsidRDefault="006D2B92" w:rsidP="00BB1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B92" w:rsidRDefault="006D2B92" w:rsidP="00BB104F">
      <w:pPr>
        <w:spacing w:after="0" w:line="240" w:lineRule="auto"/>
      </w:pPr>
      <w:r>
        <w:separator/>
      </w:r>
    </w:p>
  </w:footnote>
  <w:footnote w:type="continuationSeparator" w:id="0">
    <w:p w:rsidR="006D2B92" w:rsidRDefault="006D2B92" w:rsidP="00BB10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0936309"/>
      <w:docPartObj>
        <w:docPartGallery w:val="Page Numbers (Top of Page)"/>
        <w:docPartUnique/>
      </w:docPartObj>
    </w:sdtPr>
    <w:sdtEndPr>
      <w:rPr>
        <w:noProof/>
      </w:rPr>
    </w:sdtEndPr>
    <w:sdtContent>
      <w:p w:rsidR="00BB104F" w:rsidRDefault="00BB104F">
        <w:pPr>
          <w:pStyle w:val="Header"/>
          <w:jc w:val="right"/>
        </w:pPr>
        <w:r>
          <w:fldChar w:fldCharType="begin"/>
        </w:r>
        <w:r>
          <w:instrText xml:space="preserve"> PAGE   \* MERGEFORMAT </w:instrText>
        </w:r>
        <w:r>
          <w:fldChar w:fldCharType="separate"/>
        </w:r>
        <w:r w:rsidR="00FD4D2D">
          <w:rPr>
            <w:noProof/>
          </w:rPr>
          <w:t>6</w:t>
        </w:r>
        <w:r>
          <w:rPr>
            <w:noProof/>
          </w:rPr>
          <w:fldChar w:fldCharType="end"/>
        </w:r>
      </w:p>
    </w:sdtContent>
  </w:sdt>
  <w:p w:rsidR="00BB104F" w:rsidRDefault="00BB10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9FA"/>
    <w:rsid w:val="000F100D"/>
    <w:rsid w:val="00197977"/>
    <w:rsid w:val="001D570B"/>
    <w:rsid w:val="001E41FB"/>
    <w:rsid w:val="0028762B"/>
    <w:rsid w:val="003D4D47"/>
    <w:rsid w:val="004477D1"/>
    <w:rsid w:val="004D51B3"/>
    <w:rsid w:val="004E29FA"/>
    <w:rsid w:val="00556869"/>
    <w:rsid w:val="005801A8"/>
    <w:rsid w:val="00614F14"/>
    <w:rsid w:val="006D2B92"/>
    <w:rsid w:val="00795BD1"/>
    <w:rsid w:val="00983334"/>
    <w:rsid w:val="00A52B6F"/>
    <w:rsid w:val="00AF5BC3"/>
    <w:rsid w:val="00B608B6"/>
    <w:rsid w:val="00BB104F"/>
    <w:rsid w:val="00BF6B52"/>
    <w:rsid w:val="00D05DF5"/>
    <w:rsid w:val="00DB5C70"/>
    <w:rsid w:val="00DB7A8C"/>
    <w:rsid w:val="00E45E7D"/>
    <w:rsid w:val="00EE6279"/>
    <w:rsid w:val="00F046C0"/>
    <w:rsid w:val="00F84F31"/>
    <w:rsid w:val="00FD4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1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04F"/>
  </w:style>
  <w:style w:type="paragraph" w:styleId="Footer">
    <w:name w:val="footer"/>
    <w:basedOn w:val="Normal"/>
    <w:link w:val="FooterChar"/>
    <w:uiPriority w:val="99"/>
    <w:unhideWhenUsed/>
    <w:rsid w:val="00BB1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0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1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04F"/>
  </w:style>
  <w:style w:type="paragraph" w:styleId="Footer">
    <w:name w:val="footer"/>
    <w:basedOn w:val="Normal"/>
    <w:link w:val="FooterChar"/>
    <w:uiPriority w:val="99"/>
    <w:unhideWhenUsed/>
    <w:rsid w:val="00BB1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7</Pages>
  <Words>1541</Words>
  <Characters>8787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Patricia_Ann</cp:lastModifiedBy>
  <cp:revision>14</cp:revision>
  <dcterms:created xsi:type="dcterms:W3CDTF">2020-10-09T13:21:00Z</dcterms:created>
  <dcterms:modified xsi:type="dcterms:W3CDTF">2020-10-09T16:04:00Z</dcterms:modified>
</cp:coreProperties>
</file>