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5B51" w:rsidRPr="007F5B51" w:rsidRDefault="007F5B51" w:rsidP="00386FCE">
      <w:pPr>
        <w:spacing w:line="480" w:lineRule="auto"/>
        <w:jc w:val="center"/>
        <w:rPr>
          <w:rFonts w:ascii="Times New Roman" w:hAnsi="Times New Roman" w:cs="Times New Roman"/>
          <w:sz w:val="24"/>
          <w:szCs w:val="24"/>
        </w:rPr>
      </w:pPr>
      <w:r w:rsidRPr="007F5B51">
        <w:rPr>
          <w:rFonts w:ascii="Times New Roman" w:hAnsi="Times New Roman" w:cs="Times New Roman"/>
          <w:sz w:val="24"/>
          <w:szCs w:val="24"/>
        </w:rPr>
        <w:t>Retrospective study and Prospective study</w:t>
      </w:r>
    </w:p>
    <w:p w:rsidR="00663144" w:rsidRDefault="007F5B51" w:rsidP="00386FCE">
      <w:pPr>
        <w:spacing w:line="480" w:lineRule="auto"/>
        <w:jc w:val="both"/>
        <w:rPr>
          <w:rFonts w:ascii="Times New Roman" w:hAnsi="Times New Roman" w:cs="Times New Roman"/>
          <w:sz w:val="24"/>
          <w:szCs w:val="24"/>
        </w:rPr>
      </w:pPr>
      <w:r w:rsidRPr="007F5B51">
        <w:rPr>
          <w:rFonts w:ascii="Times New Roman" w:hAnsi="Times New Roman" w:cs="Times New Roman"/>
          <w:sz w:val="24"/>
          <w:szCs w:val="24"/>
        </w:rPr>
        <w:t xml:space="preserve">A retrospective study is a study that focuses on an already occurred outcome and examines exposures to possible risk and protective factors with the purpose of establishing potential relationships. The investigator uses medical records, administrative databases or conducts interviews with patients known to have a specific condition of interest. This study is prone to biases and confounding. </w:t>
      </w:r>
    </w:p>
    <w:p w:rsidR="007F5B51" w:rsidRPr="007F5B51" w:rsidRDefault="007F5B51" w:rsidP="00386FCE">
      <w:pPr>
        <w:spacing w:line="480" w:lineRule="auto"/>
        <w:jc w:val="both"/>
        <w:rPr>
          <w:rFonts w:ascii="Times New Roman" w:hAnsi="Times New Roman" w:cs="Times New Roman"/>
          <w:sz w:val="24"/>
          <w:szCs w:val="24"/>
        </w:rPr>
      </w:pPr>
      <w:r w:rsidRPr="007F5B51">
        <w:rPr>
          <w:rFonts w:ascii="Times New Roman" w:hAnsi="Times New Roman" w:cs="Times New Roman"/>
          <w:sz w:val="24"/>
          <w:szCs w:val="24"/>
        </w:rPr>
        <w:t xml:space="preserve">On the other hand, Prospective study watches for outcomes. Participants are admitted into the study before they develop a disease or outcome of interest. The investigator relates possible suspected risk and protection factors to the outcome. </w:t>
      </w:r>
      <w:r w:rsidR="0035020C">
        <w:rPr>
          <w:rFonts w:ascii="Times New Roman" w:hAnsi="Times New Roman" w:cs="Times New Roman"/>
          <w:sz w:val="24"/>
          <w:szCs w:val="24"/>
        </w:rPr>
        <w:t xml:space="preserve">Prospective studies have fewer sources </w:t>
      </w:r>
      <w:r w:rsidR="0048199A">
        <w:rPr>
          <w:rFonts w:ascii="Times New Roman" w:hAnsi="Times New Roman" w:cs="Times New Roman"/>
          <w:sz w:val="24"/>
          <w:szCs w:val="24"/>
        </w:rPr>
        <w:t>of biases</w:t>
      </w:r>
      <w:r w:rsidR="0035020C">
        <w:rPr>
          <w:rFonts w:ascii="Times New Roman" w:hAnsi="Times New Roman" w:cs="Times New Roman"/>
          <w:sz w:val="24"/>
          <w:szCs w:val="24"/>
        </w:rPr>
        <w:t xml:space="preserve"> and confounding as compared to </w:t>
      </w:r>
      <w:r w:rsidR="0048199A">
        <w:rPr>
          <w:rFonts w:ascii="Times New Roman" w:hAnsi="Times New Roman" w:cs="Times New Roman"/>
          <w:sz w:val="24"/>
          <w:szCs w:val="24"/>
        </w:rPr>
        <w:t xml:space="preserve">the </w:t>
      </w:r>
      <w:r w:rsidR="0035020C">
        <w:rPr>
          <w:rFonts w:ascii="Times New Roman" w:hAnsi="Times New Roman" w:cs="Times New Roman"/>
          <w:sz w:val="24"/>
          <w:szCs w:val="24"/>
        </w:rPr>
        <w:t>retrospective</w:t>
      </w:r>
      <w:r w:rsidR="0048199A">
        <w:rPr>
          <w:rFonts w:ascii="Times New Roman" w:hAnsi="Times New Roman" w:cs="Times New Roman"/>
          <w:sz w:val="24"/>
          <w:szCs w:val="24"/>
        </w:rPr>
        <w:t xml:space="preserve"> study</w:t>
      </w:r>
      <w:bookmarkStart w:id="0" w:name="_GoBack"/>
      <w:bookmarkEnd w:id="0"/>
      <w:r w:rsidR="0035020C">
        <w:rPr>
          <w:rFonts w:ascii="Times New Roman" w:hAnsi="Times New Roman" w:cs="Times New Roman"/>
          <w:sz w:val="24"/>
          <w:szCs w:val="24"/>
        </w:rPr>
        <w:t>.</w:t>
      </w:r>
    </w:p>
    <w:p w:rsidR="007F5B51" w:rsidRPr="007F5B51" w:rsidRDefault="007F5B51" w:rsidP="00386FCE">
      <w:pPr>
        <w:spacing w:line="480" w:lineRule="auto"/>
        <w:jc w:val="both"/>
        <w:rPr>
          <w:rFonts w:ascii="Times New Roman" w:hAnsi="Times New Roman" w:cs="Times New Roman"/>
          <w:sz w:val="24"/>
          <w:szCs w:val="24"/>
        </w:rPr>
      </w:pPr>
    </w:p>
    <w:p w:rsidR="007F5B51" w:rsidRPr="007F5B51" w:rsidRDefault="007F5B51" w:rsidP="00386FCE">
      <w:pPr>
        <w:spacing w:line="480" w:lineRule="auto"/>
        <w:jc w:val="center"/>
        <w:rPr>
          <w:rFonts w:ascii="Times New Roman" w:hAnsi="Times New Roman" w:cs="Times New Roman"/>
          <w:sz w:val="24"/>
          <w:szCs w:val="24"/>
        </w:rPr>
      </w:pPr>
      <w:r w:rsidRPr="007F5B51">
        <w:rPr>
          <w:rFonts w:ascii="Times New Roman" w:hAnsi="Times New Roman" w:cs="Times New Roman"/>
          <w:sz w:val="24"/>
          <w:szCs w:val="24"/>
        </w:rPr>
        <w:t>The 1936 Literary Digest Poll</w:t>
      </w:r>
    </w:p>
    <w:p w:rsidR="007F5B51" w:rsidRPr="007F5B51" w:rsidRDefault="007F5B51" w:rsidP="00386FCE">
      <w:pPr>
        <w:spacing w:line="480" w:lineRule="auto"/>
        <w:jc w:val="both"/>
        <w:rPr>
          <w:rFonts w:ascii="Times New Roman" w:hAnsi="Times New Roman" w:cs="Times New Roman"/>
          <w:sz w:val="24"/>
          <w:szCs w:val="24"/>
        </w:rPr>
      </w:pPr>
      <w:r w:rsidRPr="007F5B51">
        <w:rPr>
          <w:rFonts w:ascii="Times New Roman" w:hAnsi="Times New Roman" w:cs="Times New Roman"/>
          <w:sz w:val="24"/>
          <w:szCs w:val="24"/>
        </w:rPr>
        <w:t xml:space="preserve">The Literary Digest was a respected magazine with a history of accurately predicting winners in presidential elections in the U.S dating back to 1916. In this poll, 2.4 million Americans comprised the sample size. The sample was selected from U.S telephone directory, rosters of clubs and associations, and list of magazines subscribers among other sources. A mailing list of approximately 10 million names was generated and every contact on the list was mailed a mock ballot, asked to mark and return it. </w:t>
      </w:r>
    </w:p>
    <w:p w:rsidR="007F5B51" w:rsidRPr="007F5B51" w:rsidRDefault="007F5B51" w:rsidP="00386FCE">
      <w:pPr>
        <w:spacing w:line="480" w:lineRule="auto"/>
        <w:jc w:val="both"/>
        <w:rPr>
          <w:rFonts w:ascii="Times New Roman" w:hAnsi="Times New Roman" w:cs="Times New Roman"/>
          <w:sz w:val="24"/>
          <w:szCs w:val="24"/>
        </w:rPr>
      </w:pPr>
      <w:r w:rsidRPr="007F5B51">
        <w:rPr>
          <w:rFonts w:ascii="Times New Roman" w:hAnsi="Times New Roman" w:cs="Times New Roman"/>
          <w:sz w:val="24"/>
          <w:szCs w:val="24"/>
        </w:rPr>
        <w:t xml:space="preserve">The outcome of the poll was Landon 57% and Incumbent Roosevelt 43%. The sampling error for the poll was 19% and was as a result of sample bias. This was not a scientific sample since it was biased. The sources of the mailing list slanted towards the upper- and middle-class voters. With estimated 9 million people unemployed in 1936, telephones, magazines and club memberships were luxuries for many. Therefore, the sampling criteria were biased. Also, only </w:t>
      </w:r>
      <w:r w:rsidRPr="007F5B51">
        <w:rPr>
          <w:rFonts w:ascii="Times New Roman" w:hAnsi="Times New Roman" w:cs="Times New Roman"/>
          <w:sz w:val="24"/>
          <w:szCs w:val="24"/>
        </w:rPr>
        <w:lastRenderedPageBreak/>
        <w:t xml:space="preserve">2.4 million participants out of 10 million participated. </w:t>
      </w:r>
      <w:r w:rsidR="00944DF1" w:rsidRPr="007F5B51">
        <w:rPr>
          <w:rFonts w:ascii="Times New Roman" w:hAnsi="Times New Roman" w:cs="Times New Roman"/>
          <w:sz w:val="24"/>
          <w:szCs w:val="24"/>
        </w:rPr>
        <w:t xml:space="preserve">Roosevelt </w:t>
      </w:r>
      <w:r w:rsidR="00944DF1">
        <w:rPr>
          <w:rFonts w:ascii="Times New Roman" w:hAnsi="Times New Roman" w:cs="Times New Roman"/>
          <w:sz w:val="24"/>
          <w:szCs w:val="24"/>
        </w:rPr>
        <w:t xml:space="preserve">won </w:t>
      </w:r>
      <w:r w:rsidR="007365C8">
        <w:rPr>
          <w:rFonts w:ascii="Times New Roman" w:hAnsi="Times New Roman" w:cs="Times New Roman"/>
          <w:sz w:val="24"/>
          <w:szCs w:val="24"/>
        </w:rPr>
        <w:t>in th</w:t>
      </w:r>
      <w:r w:rsidRPr="007F5B51">
        <w:rPr>
          <w:rFonts w:ascii="Times New Roman" w:hAnsi="Times New Roman" w:cs="Times New Roman"/>
          <w:sz w:val="24"/>
          <w:szCs w:val="24"/>
        </w:rPr>
        <w:t>e actual election</w:t>
      </w:r>
      <w:r w:rsidR="007365C8">
        <w:rPr>
          <w:rFonts w:ascii="Times New Roman" w:hAnsi="Times New Roman" w:cs="Times New Roman"/>
          <w:sz w:val="24"/>
          <w:szCs w:val="24"/>
        </w:rPr>
        <w:t xml:space="preserve"> with </w:t>
      </w:r>
      <w:r w:rsidRPr="007F5B51">
        <w:rPr>
          <w:rFonts w:ascii="Times New Roman" w:hAnsi="Times New Roman" w:cs="Times New Roman"/>
          <w:sz w:val="24"/>
          <w:szCs w:val="24"/>
        </w:rPr>
        <w:t xml:space="preserve">62% </w:t>
      </w:r>
      <w:r w:rsidR="007365C8">
        <w:rPr>
          <w:rFonts w:ascii="Times New Roman" w:hAnsi="Times New Roman" w:cs="Times New Roman"/>
          <w:sz w:val="24"/>
          <w:szCs w:val="24"/>
        </w:rPr>
        <w:t xml:space="preserve">votes and </w:t>
      </w:r>
      <w:r w:rsidRPr="007F5B51">
        <w:rPr>
          <w:rFonts w:ascii="Times New Roman" w:hAnsi="Times New Roman" w:cs="Times New Roman"/>
          <w:sz w:val="24"/>
          <w:szCs w:val="24"/>
        </w:rPr>
        <w:t xml:space="preserve">Landon 38%. </w:t>
      </w:r>
    </w:p>
    <w:p w:rsidR="007F5B51" w:rsidRPr="007F5B51" w:rsidRDefault="007F5B51" w:rsidP="00386FCE">
      <w:pPr>
        <w:spacing w:line="480" w:lineRule="auto"/>
        <w:jc w:val="both"/>
        <w:rPr>
          <w:rFonts w:ascii="Times New Roman" w:hAnsi="Times New Roman" w:cs="Times New Roman"/>
          <w:sz w:val="24"/>
          <w:szCs w:val="24"/>
        </w:rPr>
      </w:pPr>
    </w:p>
    <w:p w:rsidR="007F5B51" w:rsidRPr="007F5B51" w:rsidRDefault="007F5B51" w:rsidP="00386FCE">
      <w:pPr>
        <w:spacing w:line="480" w:lineRule="auto"/>
        <w:jc w:val="center"/>
        <w:rPr>
          <w:rFonts w:ascii="Times New Roman" w:hAnsi="Times New Roman" w:cs="Times New Roman"/>
          <w:sz w:val="24"/>
          <w:szCs w:val="24"/>
        </w:rPr>
      </w:pPr>
      <w:r w:rsidRPr="007F5B51">
        <w:rPr>
          <w:rFonts w:ascii="Times New Roman" w:hAnsi="Times New Roman" w:cs="Times New Roman"/>
          <w:sz w:val="24"/>
          <w:szCs w:val="24"/>
        </w:rPr>
        <w:t>CPI; Movements and Importance</w:t>
      </w:r>
    </w:p>
    <w:p w:rsidR="007F5B51" w:rsidRPr="007F5B51" w:rsidRDefault="007F5B51" w:rsidP="00386FCE">
      <w:pPr>
        <w:spacing w:line="480" w:lineRule="auto"/>
        <w:jc w:val="both"/>
        <w:rPr>
          <w:rFonts w:ascii="Times New Roman" w:hAnsi="Times New Roman" w:cs="Times New Roman"/>
          <w:sz w:val="24"/>
          <w:szCs w:val="24"/>
        </w:rPr>
      </w:pPr>
      <w:r w:rsidRPr="007F5B51">
        <w:rPr>
          <w:rFonts w:ascii="Times New Roman" w:hAnsi="Times New Roman" w:cs="Times New Roman"/>
          <w:sz w:val="24"/>
          <w:szCs w:val="24"/>
        </w:rPr>
        <w:t xml:space="preserve">It is normal for prices of goods and services fluctuate over time. However, when these prices change too quickly, the effects can destabilize an economy. The CPI indicates whether an economy is experiencing deflation, inflation or stagflation. This index is highly anticipated and watched by many stakeholders including the Federal Government, corporations and employee unions. </w:t>
      </w:r>
    </w:p>
    <w:p w:rsidR="007F5B51" w:rsidRPr="007F5B51" w:rsidRDefault="007F5B51" w:rsidP="00386FCE">
      <w:pPr>
        <w:spacing w:line="480" w:lineRule="auto"/>
        <w:jc w:val="both"/>
        <w:rPr>
          <w:rFonts w:ascii="Times New Roman" w:hAnsi="Times New Roman" w:cs="Times New Roman"/>
          <w:sz w:val="24"/>
          <w:szCs w:val="24"/>
        </w:rPr>
      </w:pPr>
      <w:r w:rsidRPr="007F5B51">
        <w:rPr>
          <w:rFonts w:ascii="Times New Roman" w:hAnsi="Times New Roman" w:cs="Times New Roman"/>
          <w:sz w:val="24"/>
          <w:szCs w:val="24"/>
        </w:rPr>
        <w:t>When prices increase to fast, inflation raises the cost of living. Employee unions bargain for increased remuneration to meet the high cost of living. Employers and managers use the CPI to determine wage adjustments that meet the cost of living while the Federal Government monitors the CPI to keep inflation in check.</w:t>
      </w:r>
    </w:p>
    <w:p w:rsidR="007F5B51" w:rsidRPr="007F5B51" w:rsidRDefault="007F5B51" w:rsidP="00386FCE">
      <w:pPr>
        <w:spacing w:line="480" w:lineRule="auto"/>
        <w:jc w:val="both"/>
        <w:rPr>
          <w:rFonts w:ascii="Times New Roman" w:hAnsi="Times New Roman" w:cs="Times New Roman"/>
          <w:sz w:val="24"/>
          <w:szCs w:val="24"/>
        </w:rPr>
      </w:pPr>
    </w:p>
    <w:p w:rsidR="007F5B51" w:rsidRPr="007F5B51" w:rsidRDefault="007F5B51" w:rsidP="00386FCE">
      <w:pPr>
        <w:spacing w:line="480" w:lineRule="auto"/>
        <w:jc w:val="center"/>
        <w:rPr>
          <w:rFonts w:ascii="Times New Roman" w:hAnsi="Times New Roman" w:cs="Times New Roman"/>
          <w:sz w:val="24"/>
          <w:szCs w:val="24"/>
        </w:rPr>
      </w:pPr>
      <w:r w:rsidRPr="007F5B51">
        <w:rPr>
          <w:rFonts w:ascii="Times New Roman" w:hAnsi="Times New Roman" w:cs="Times New Roman"/>
          <w:sz w:val="24"/>
          <w:szCs w:val="24"/>
        </w:rPr>
        <w:t>The monthly unemployment rate in the U.S and Sampling Techniques</w:t>
      </w:r>
    </w:p>
    <w:p w:rsidR="007F5B51" w:rsidRPr="007F5B51" w:rsidRDefault="007F5B51" w:rsidP="00386FCE">
      <w:pPr>
        <w:spacing w:line="480" w:lineRule="auto"/>
        <w:jc w:val="both"/>
        <w:rPr>
          <w:rFonts w:ascii="Times New Roman" w:hAnsi="Times New Roman" w:cs="Times New Roman"/>
          <w:sz w:val="24"/>
          <w:szCs w:val="24"/>
        </w:rPr>
      </w:pPr>
      <w:r w:rsidRPr="007F5B51">
        <w:rPr>
          <w:rFonts w:ascii="Times New Roman" w:hAnsi="Times New Roman" w:cs="Times New Roman"/>
          <w:sz w:val="24"/>
          <w:szCs w:val="24"/>
        </w:rPr>
        <w:t xml:space="preserve">The Current Population Survey in the U.S is done monthly and is designed to produce state and national evaluations of </w:t>
      </w:r>
      <w:proofErr w:type="spellStart"/>
      <w:r w:rsidRPr="007F5B51">
        <w:rPr>
          <w:rFonts w:ascii="Times New Roman" w:hAnsi="Times New Roman" w:cs="Times New Roman"/>
          <w:sz w:val="24"/>
          <w:szCs w:val="24"/>
        </w:rPr>
        <w:t>labor</w:t>
      </w:r>
      <w:proofErr w:type="spellEnd"/>
      <w:r w:rsidRPr="007F5B51">
        <w:rPr>
          <w:rFonts w:ascii="Times New Roman" w:hAnsi="Times New Roman" w:cs="Times New Roman"/>
          <w:sz w:val="24"/>
          <w:szCs w:val="24"/>
        </w:rPr>
        <w:t xml:space="preserve"> force characteristics of the national population 16 years and above. Approximately 60,000 housing units are covered in this survey. There are about 1100 surveyors with each targeting approximately 60 addresses. The process begins on the 19th of every month. The questionnaires are both open and closed structured. Completed questionnaires are taken to regional census Bureau office and later Census </w:t>
      </w:r>
      <w:r w:rsidR="00816B43" w:rsidRPr="007F5B51">
        <w:rPr>
          <w:rFonts w:ascii="Times New Roman" w:hAnsi="Times New Roman" w:cs="Times New Roman"/>
          <w:sz w:val="24"/>
          <w:szCs w:val="24"/>
        </w:rPr>
        <w:t>Bureau’s</w:t>
      </w:r>
      <w:r w:rsidR="00816B43">
        <w:rPr>
          <w:rFonts w:ascii="Times New Roman" w:hAnsi="Times New Roman" w:cs="Times New Roman"/>
          <w:sz w:val="24"/>
          <w:szCs w:val="24"/>
        </w:rPr>
        <w:t xml:space="preserve"> data</w:t>
      </w:r>
      <w:r w:rsidRPr="007F5B51">
        <w:rPr>
          <w:rFonts w:ascii="Times New Roman" w:hAnsi="Times New Roman" w:cs="Times New Roman"/>
          <w:sz w:val="24"/>
          <w:szCs w:val="24"/>
        </w:rPr>
        <w:t xml:space="preserve"> processing office in Indiana. Answers on the questionnaires are converted into computer-</w:t>
      </w:r>
      <w:r w:rsidRPr="007F5B51">
        <w:rPr>
          <w:rFonts w:ascii="Times New Roman" w:hAnsi="Times New Roman" w:cs="Times New Roman"/>
          <w:sz w:val="24"/>
          <w:szCs w:val="24"/>
        </w:rPr>
        <w:lastRenderedPageBreak/>
        <w:t>readable form. The computer analyses the data and generates reports that are available for external use by the 29th day of the month.</w:t>
      </w:r>
    </w:p>
    <w:p w:rsidR="007F5B51" w:rsidRPr="007F5B51" w:rsidRDefault="007F5B51" w:rsidP="00386FCE">
      <w:pPr>
        <w:spacing w:line="480" w:lineRule="auto"/>
        <w:jc w:val="both"/>
        <w:rPr>
          <w:rFonts w:ascii="Times New Roman" w:hAnsi="Times New Roman" w:cs="Times New Roman"/>
          <w:sz w:val="24"/>
          <w:szCs w:val="24"/>
        </w:rPr>
      </w:pPr>
      <w:r w:rsidRPr="007F5B51">
        <w:rPr>
          <w:rFonts w:ascii="Times New Roman" w:hAnsi="Times New Roman" w:cs="Times New Roman"/>
          <w:sz w:val="24"/>
          <w:szCs w:val="24"/>
        </w:rPr>
        <w:t xml:space="preserve"> The CPS is a probability-based sampling scheme comprising two-stage strata; which include the selection of the Primary sampling units (PSU) and the selection of housing units within PSUs. The CPS sample is selected from the Master Address File (MAF) list. </w:t>
      </w:r>
    </w:p>
    <w:p w:rsidR="007F5B51" w:rsidRPr="007F5B51" w:rsidRDefault="007F5B51" w:rsidP="00386FCE">
      <w:pPr>
        <w:spacing w:line="480" w:lineRule="auto"/>
        <w:jc w:val="both"/>
        <w:rPr>
          <w:rFonts w:ascii="Times New Roman" w:hAnsi="Times New Roman" w:cs="Times New Roman"/>
          <w:sz w:val="24"/>
          <w:szCs w:val="24"/>
        </w:rPr>
      </w:pPr>
      <w:r w:rsidRPr="007F5B51">
        <w:rPr>
          <w:rFonts w:ascii="Times New Roman" w:hAnsi="Times New Roman" w:cs="Times New Roman"/>
          <w:sz w:val="24"/>
          <w:szCs w:val="24"/>
        </w:rPr>
        <w:t>Methodology:</w:t>
      </w:r>
    </w:p>
    <w:p w:rsidR="007F5B51" w:rsidRPr="00386FCE" w:rsidRDefault="007F5B51" w:rsidP="00386FCE">
      <w:pPr>
        <w:pStyle w:val="ListParagraph"/>
        <w:numPr>
          <w:ilvl w:val="0"/>
          <w:numId w:val="3"/>
        </w:numPr>
        <w:spacing w:line="480" w:lineRule="auto"/>
        <w:jc w:val="both"/>
        <w:rPr>
          <w:rFonts w:ascii="Times New Roman" w:hAnsi="Times New Roman" w:cs="Times New Roman"/>
          <w:sz w:val="24"/>
          <w:szCs w:val="24"/>
        </w:rPr>
      </w:pPr>
      <w:r w:rsidRPr="00386FCE">
        <w:rPr>
          <w:rFonts w:ascii="Times New Roman" w:hAnsi="Times New Roman" w:cs="Times New Roman"/>
          <w:sz w:val="24"/>
          <w:szCs w:val="24"/>
        </w:rPr>
        <w:t xml:space="preserve">State-Based design- PSUs consisting of counties or group of tangent counties in the U.S are selected and group into strata. </w:t>
      </w:r>
    </w:p>
    <w:p w:rsidR="007F5B51" w:rsidRPr="00386FCE" w:rsidRDefault="007F5B51" w:rsidP="00386FCE">
      <w:pPr>
        <w:pStyle w:val="ListParagraph"/>
        <w:numPr>
          <w:ilvl w:val="0"/>
          <w:numId w:val="3"/>
        </w:numPr>
        <w:spacing w:line="480" w:lineRule="auto"/>
        <w:jc w:val="both"/>
        <w:rPr>
          <w:rFonts w:ascii="Times New Roman" w:hAnsi="Times New Roman" w:cs="Times New Roman"/>
          <w:sz w:val="24"/>
          <w:szCs w:val="24"/>
        </w:rPr>
      </w:pPr>
      <w:r w:rsidRPr="00386FCE">
        <w:rPr>
          <w:rFonts w:ascii="Times New Roman" w:hAnsi="Times New Roman" w:cs="Times New Roman"/>
          <w:sz w:val="24"/>
          <w:szCs w:val="24"/>
        </w:rPr>
        <w:t xml:space="preserve">PSU stratification and selection- each Stratum comprise of one or more PSUs and within each stratum, one PSU is selected for the sample. </w:t>
      </w:r>
    </w:p>
    <w:p w:rsidR="007F5B51" w:rsidRPr="00386FCE" w:rsidRDefault="007F5B51" w:rsidP="00386FCE">
      <w:pPr>
        <w:pStyle w:val="ListParagraph"/>
        <w:numPr>
          <w:ilvl w:val="0"/>
          <w:numId w:val="3"/>
        </w:numPr>
        <w:spacing w:line="480" w:lineRule="auto"/>
        <w:jc w:val="both"/>
        <w:rPr>
          <w:rFonts w:ascii="Times New Roman" w:hAnsi="Times New Roman" w:cs="Times New Roman"/>
          <w:sz w:val="24"/>
          <w:szCs w:val="24"/>
        </w:rPr>
      </w:pPr>
      <w:r w:rsidRPr="00386FCE">
        <w:rPr>
          <w:rFonts w:ascii="Times New Roman" w:hAnsi="Times New Roman" w:cs="Times New Roman"/>
          <w:sz w:val="24"/>
          <w:szCs w:val="24"/>
        </w:rPr>
        <w:t>Selection of Housing units- a sample of equivalent government units or counties is selected and subdivided into subareas. From each subarea, a sample address is chosen for interviews. Two procedures are used in making this selection:</w:t>
      </w:r>
    </w:p>
    <w:p w:rsidR="007F5B51" w:rsidRPr="003F355A" w:rsidRDefault="007F5B51" w:rsidP="003F355A">
      <w:pPr>
        <w:pStyle w:val="ListParagraph"/>
        <w:numPr>
          <w:ilvl w:val="0"/>
          <w:numId w:val="5"/>
        </w:numPr>
        <w:spacing w:line="480" w:lineRule="auto"/>
        <w:ind w:left="1418"/>
        <w:jc w:val="both"/>
        <w:rPr>
          <w:rFonts w:ascii="Times New Roman" w:hAnsi="Times New Roman" w:cs="Times New Roman"/>
          <w:sz w:val="24"/>
          <w:szCs w:val="24"/>
        </w:rPr>
      </w:pPr>
      <w:r w:rsidRPr="003F355A">
        <w:rPr>
          <w:rFonts w:ascii="Times New Roman" w:hAnsi="Times New Roman" w:cs="Times New Roman"/>
          <w:sz w:val="24"/>
          <w:szCs w:val="24"/>
        </w:rPr>
        <w:t xml:space="preserve">In urban areas, the MAF is more accurate and thus around 18 consecutive addresses are picked from the Census Enumeration Districts (ED). The 3rd address within the cluster is selected from current sampling. </w:t>
      </w:r>
    </w:p>
    <w:p w:rsidR="003F355A" w:rsidRDefault="007F5B51" w:rsidP="003F355A">
      <w:pPr>
        <w:pStyle w:val="ListParagraph"/>
        <w:numPr>
          <w:ilvl w:val="0"/>
          <w:numId w:val="5"/>
        </w:numPr>
        <w:spacing w:line="480" w:lineRule="auto"/>
        <w:ind w:left="1418"/>
        <w:jc w:val="both"/>
        <w:rPr>
          <w:rFonts w:ascii="Times New Roman" w:hAnsi="Times New Roman" w:cs="Times New Roman"/>
          <w:sz w:val="24"/>
          <w:szCs w:val="24"/>
        </w:rPr>
      </w:pPr>
      <w:r w:rsidRPr="003F355A">
        <w:rPr>
          <w:rFonts w:ascii="Times New Roman" w:hAnsi="Times New Roman" w:cs="Times New Roman"/>
          <w:sz w:val="24"/>
          <w:szCs w:val="24"/>
        </w:rPr>
        <w:t xml:space="preserve">In rural Areas and areas not well covered by MAF, area sampling is used. The sample Census Enumeration Districts are subdivided into smaller areas with well-defined boundaries. For areas with poor boundaries, large segments are defined and 6 addresses picked through a systematic sampling of the housing units in the segment. </w:t>
      </w:r>
    </w:p>
    <w:p w:rsidR="006F1E88" w:rsidRPr="008B0B16" w:rsidRDefault="007F5B51" w:rsidP="008B0B16">
      <w:pPr>
        <w:pStyle w:val="ListParagraph"/>
        <w:numPr>
          <w:ilvl w:val="0"/>
          <w:numId w:val="3"/>
        </w:numPr>
        <w:spacing w:line="480" w:lineRule="auto"/>
        <w:jc w:val="both"/>
        <w:rPr>
          <w:rFonts w:ascii="Times New Roman" w:hAnsi="Times New Roman" w:cs="Times New Roman"/>
          <w:sz w:val="24"/>
          <w:szCs w:val="24"/>
        </w:rPr>
      </w:pPr>
      <w:r w:rsidRPr="008B0B16">
        <w:rPr>
          <w:rFonts w:ascii="Times New Roman" w:hAnsi="Times New Roman" w:cs="Times New Roman"/>
          <w:sz w:val="24"/>
          <w:szCs w:val="24"/>
        </w:rPr>
        <w:t>Rotational System: Interviews are done at a sampled address for 4 successive months and the address is omitted for 8 consecutive months before they return with the same pattern.</w:t>
      </w:r>
    </w:p>
    <w:sectPr w:rsidR="006F1E88" w:rsidRPr="008B0B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6C38EE"/>
    <w:multiLevelType w:val="hybridMultilevel"/>
    <w:tmpl w:val="C4CA063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2F096E"/>
    <w:multiLevelType w:val="hybridMultilevel"/>
    <w:tmpl w:val="6C7682D6"/>
    <w:lvl w:ilvl="0" w:tplc="D60066E2">
      <w:start w:val="4"/>
      <w:numFmt w:val="upperLetter"/>
      <w:lvlText w:val="%1)"/>
      <w:lvlJc w:val="left"/>
      <w:pPr>
        <w:ind w:left="720" w:hanging="360"/>
      </w:pPr>
      <w:rPr>
        <w:rFonts w:ascii="Times New Roman" w:hAnsi="Times New Roman" w:cs="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04A16FB"/>
    <w:multiLevelType w:val="hybridMultilevel"/>
    <w:tmpl w:val="1D467AE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2C54263"/>
    <w:multiLevelType w:val="hybridMultilevel"/>
    <w:tmpl w:val="4328BF6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AC65027"/>
    <w:multiLevelType w:val="hybridMultilevel"/>
    <w:tmpl w:val="7504A48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BDC690B"/>
    <w:multiLevelType w:val="hybridMultilevel"/>
    <w:tmpl w:val="A7F01232"/>
    <w:lvl w:ilvl="0" w:tplc="468E3B56">
      <w:start w:val="1"/>
      <w:numFmt w:val="lowerLetter"/>
      <w:lvlText w:val="%1)"/>
      <w:lvlJc w:val="left"/>
      <w:pPr>
        <w:ind w:left="816" w:hanging="45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F9D5D15"/>
    <w:multiLevelType w:val="hybridMultilevel"/>
    <w:tmpl w:val="D6C251C0"/>
    <w:lvl w:ilvl="0" w:tplc="6FD4900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67451100"/>
    <w:multiLevelType w:val="hybridMultilevel"/>
    <w:tmpl w:val="604E1316"/>
    <w:lvl w:ilvl="0" w:tplc="BB28A0C6">
      <w:start w:val="4"/>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7532572"/>
    <w:multiLevelType w:val="hybridMultilevel"/>
    <w:tmpl w:val="ED9E4B32"/>
    <w:lvl w:ilvl="0" w:tplc="D09ED83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B3821B8"/>
    <w:multiLevelType w:val="hybridMultilevel"/>
    <w:tmpl w:val="98961ECC"/>
    <w:lvl w:ilvl="0" w:tplc="08090017">
      <w:start w:val="1"/>
      <w:numFmt w:val="lowerLetter"/>
      <w:lvlText w:val="%1)"/>
      <w:lvlJc w:val="left"/>
      <w:pPr>
        <w:ind w:left="900" w:hanging="360"/>
      </w:p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num w:numId="1">
    <w:abstractNumId w:val="0"/>
  </w:num>
  <w:num w:numId="2">
    <w:abstractNumId w:val="6"/>
  </w:num>
  <w:num w:numId="3">
    <w:abstractNumId w:val="2"/>
  </w:num>
  <w:num w:numId="4">
    <w:abstractNumId w:val="5"/>
  </w:num>
  <w:num w:numId="5">
    <w:abstractNumId w:val="3"/>
  </w:num>
  <w:num w:numId="6">
    <w:abstractNumId w:val="8"/>
  </w:num>
  <w:num w:numId="7">
    <w:abstractNumId w:val="4"/>
  </w:num>
  <w:num w:numId="8">
    <w:abstractNumId w:val="1"/>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3EE"/>
    <w:rsid w:val="000035E2"/>
    <w:rsid w:val="00005EE6"/>
    <w:rsid w:val="000133EE"/>
    <w:rsid w:val="0004734F"/>
    <w:rsid w:val="00047AC9"/>
    <w:rsid w:val="00054459"/>
    <w:rsid w:val="00073A36"/>
    <w:rsid w:val="000C1FF5"/>
    <w:rsid w:val="000C520D"/>
    <w:rsid w:val="000E3CD3"/>
    <w:rsid w:val="000E4094"/>
    <w:rsid w:val="000F70B8"/>
    <w:rsid w:val="00112478"/>
    <w:rsid w:val="00141CFE"/>
    <w:rsid w:val="001527E8"/>
    <w:rsid w:val="00176FAB"/>
    <w:rsid w:val="00184421"/>
    <w:rsid w:val="001925E5"/>
    <w:rsid w:val="001937B6"/>
    <w:rsid w:val="001A2984"/>
    <w:rsid w:val="001D34D4"/>
    <w:rsid w:val="001F08A3"/>
    <w:rsid w:val="001F1361"/>
    <w:rsid w:val="001F2316"/>
    <w:rsid w:val="00212120"/>
    <w:rsid w:val="00246203"/>
    <w:rsid w:val="0025502E"/>
    <w:rsid w:val="00283AB8"/>
    <w:rsid w:val="0029427E"/>
    <w:rsid w:val="00297E31"/>
    <w:rsid w:val="002B4A3E"/>
    <w:rsid w:val="002C6CEF"/>
    <w:rsid w:val="002E4754"/>
    <w:rsid w:val="002E6B08"/>
    <w:rsid w:val="00311A77"/>
    <w:rsid w:val="00324C2E"/>
    <w:rsid w:val="00342E40"/>
    <w:rsid w:val="003442CF"/>
    <w:rsid w:val="0035020C"/>
    <w:rsid w:val="00386FCE"/>
    <w:rsid w:val="003B5A8C"/>
    <w:rsid w:val="003C4F08"/>
    <w:rsid w:val="003F355A"/>
    <w:rsid w:val="003F6625"/>
    <w:rsid w:val="004119B7"/>
    <w:rsid w:val="0043748D"/>
    <w:rsid w:val="004506A4"/>
    <w:rsid w:val="0048199A"/>
    <w:rsid w:val="004873E5"/>
    <w:rsid w:val="004A6B5B"/>
    <w:rsid w:val="004B0400"/>
    <w:rsid w:val="004B60E6"/>
    <w:rsid w:val="004C784B"/>
    <w:rsid w:val="004F4E4D"/>
    <w:rsid w:val="004F5471"/>
    <w:rsid w:val="00506392"/>
    <w:rsid w:val="00530E5B"/>
    <w:rsid w:val="005A5F3E"/>
    <w:rsid w:val="00612628"/>
    <w:rsid w:val="00615E58"/>
    <w:rsid w:val="00636553"/>
    <w:rsid w:val="00663144"/>
    <w:rsid w:val="00683969"/>
    <w:rsid w:val="00685EA0"/>
    <w:rsid w:val="006B477E"/>
    <w:rsid w:val="006C1BA3"/>
    <w:rsid w:val="006C42F5"/>
    <w:rsid w:val="006F1E88"/>
    <w:rsid w:val="00712F6D"/>
    <w:rsid w:val="00726BAC"/>
    <w:rsid w:val="007365C8"/>
    <w:rsid w:val="0075438B"/>
    <w:rsid w:val="0076636D"/>
    <w:rsid w:val="00773E1F"/>
    <w:rsid w:val="00791871"/>
    <w:rsid w:val="007C730B"/>
    <w:rsid w:val="007E1549"/>
    <w:rsid w:val="007F5B51"/>
    <w:rsid w:val="00816B43"/>
    <w:rsid w:val="00823F87"/>
    <w:rsid w:val="008315DE"/>
    <w:rsid w:val="008809FF"/>
    <w:rsid w:val="008B0B16"/>
    <w:rsid w:val="00932F8C"/>
    <w:rsid w:val="00944DF1"/>
    <w:rsid w:val="00957877"/>
    <w:rsid w:val="00972731"/>
    <w:rsid w:val="00983595"/>
    <w:rsid w:val="009D6E65"/>
    <w:rsid w:val="009E787C"/>
    <w:rsid w:val="00A04570"/>
    <w:rsid w:val="00A22107"/>
    <w:rsid w:val="00A368C0"/>
    <w:rsid w:val="00A71C24"/>
    <w:rsid w:val="00A94278"/>
    <w:rsid w:val="00A975C2"/>
    <w:rsid w:val="00AA04E6"/>
    <w:rsid w:val="00AB24DB"/>
    <w:rsid w:val="00AD28C7"/>
    <w:rsid w:val="00B26D0B"/>
    <w:rsid w:val="00B31A49"/>
    <w:rsid w:val="00B434C4"/>
    <w:rsid w:val="00B670B8"/>
    <w:rsid w:val="00B70FB3"/>
    <w:rsid w:val="00B80F33"/>
    <w:rsid w:val="00B85CC0"/>
    <w:rsid w:val="00BA61D1"/>
    <w:rsid w:val="00BD57A0"/>
    <w:rsid w:val="00BF21C0"/>
    <w:rsid w:val="00BF3C20"/>
    <w:rsid w:val="00C222D6"/>
    <w:rsid w:val="00C609B7"/>
    <w:rsid w:val="00C66252"/>
    <w:rsid w:val="00C662E3"/>
    <w:rsid w:val="00CC6166"/>
    <w:rsid w:val="00CD0DAC"/>
    <w:rsid w:val="00CD3D21"/>
    <w:rsid w:val="00CD66D0"/>
    <w:rsid w:val="00D10B93"/>
    <w:rsid w:val="00D236F1"/>
    <w:rsid w:val="00D300C8"/>
    <w:rsid w:val="00D66A44"/>
    <w:rsid w:val="00D7541A"/>
    <w:rsid w:val="00D76860"/>
    <w:rsid w:val="00D97879"/>
    <w:rsid w:val="00DC1B8E"/>
    <w:rsid w:val="00DD316B"/>
    <w:rsid w:val="00DF4CCA"/>
    <w:rsid w:val="00E049A5"/>
    <w:rsid w:val="00E13D97"/>
    <w:rsid w:val="00E57E48"/>
    <w:rsid w:val="00E7737F"/>
    <w:rsid w:val="00E95353"/>
    <w:rsid w:val="00E96761"/>
    <w:rsid w:val="00EB1A60"/>
    <w:rsid w:val="00EB6C01"/>
    <w:rsid w:val="00ED05B3"/>
    <w:rsid w:val="00F22099"/>
    <w:rsid w:val="00F2535C"/>
    <w:rsid w:val="00F3565D"/>
    <w:rsid w:val="00F35B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A14DF"/>
  <w15:chartTrackingRefBased/>
  <w15:docId w15:val="{EF42D0D4-6A17-4CEB-AC6E-C2704D93B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61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3</Pages>
  <Words>737</Words>
  <Characters>4204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Peninnah Kalondu</dc:creator>
  <cp:keywords/>
  <dc:description/>
  <cp:lastModifiedBy>Peninnah Kalondu</cp:lastModifiedBy>
  <cp:revision>141</cp:revision>
  <dcterms:created xsi:type="dcterms:W3CDTF">2018-12-16T10:21:00Z</dcterms:created>
  <dcterms:modified xsi:type="dcterms:W3CDTF">2018-12-16T14:11:00Z</dcterms:modified>
</cp:coreProperties>
</file>