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B6F795" w14:textId="77777777" w:rsidR="005F09E3" w:rsidRDefault="005F09E3" w:rsidP="00DC3A1C">
      <w:pPr>
        <w:spacing w:after="0"/>
        <w:contextualSpacing/>
        <w:jc w:val="center"/>
        <w:rPr>
          <w:b/>
          <w:bCs/>
        </w:rPr>
      </w:pPr>
      <w:bookmarkStart w:id="0" w:name="_GoBack"/>
    </w:p>
    <w:p w14:paraId="389296C3" w14:textId="77777777" w:rsidR="005F09E3" w:rsidRDefault="005F09E3" w:rsidP="00DC3A1C">
      <w:pPr>
        <w:spacing w:after="0"/>
        <w:contextualSpacing/>
        <w:jc w:val="center"/>
        <w:rPr>
          <w:b/>
          <w:bCs/>
        </w:rPr>
      </w:pPr>
    </w:p>
    <w:p w14:paraId="0706E1C6" w14:textId="7E45030A" w:rsidR="00404479" w:rsidRDefault="00404479" w:rsidP="00DC3A1C">
      <w:pPr>
        <w:spacing w:after="0"/>
        <w:contextualSpacing/>
        <w:jc w:val="center"/>
      </w:pPr>
      <w:r w:rsidRPr="00F66245">
        <w:rPr>
          <w:b/>
          <w:bCs/>
        </w:rPr>
        <w:t>Sarbanes Oxley Act 2002</w:t>
      </w:r>
    </w:p>
    <w:p w14:paraId="3BE4EA88" w14:textId="77777777" w:rsidR="00404479" w:rsidRDefault="00404479" w:rsidP="00DC3A1C">
      <w:pPr>
        <w:spacing w:after="0"/>
        <w:contextualSpacing/>
        <w:jc w:val="center"/>
        <w:rPr>
          <w:b/>
          <w:bCs/>
        </w:rPr>
      </w:pPr>
    </w:p>
    <w:p w14:paraId="7FF8A79E" w14:textId="111A1910" w:rsidR="00404479" w:rsidRDefault="00404479" w:rsidP="00DC3A1C">
      <w:pPr>
        <w:spacing w:after="0"/>
        <w:contextualSpacing/>
        <w:jc w:val="center"/>
        <w:rPr>
          <w:b/>
          <w:bCs/>
        </w:rPr>
      </w:pPr>
    </w:p>
    <w:p w14:paraId="25BAEE8A" w14:textId="77777777" w:rsidR="00404479" w:rsidRDefault="00404479" w:rsidP="00DC3A1C">
      <w:pPr>
        <w:spacing w:after="0"/>
        <w:contextualSpacing/>
        <w:jc w:val="center"/>
        <w:rPr>
          <w:rFonts w:eastAsia="Arial" w:cs="Times New Roman"/>
          <w:color w:val="000000"/>
          <w:szCs w:val="24"/>
        </w:rPr>
      </w:pPr>
      <w:r>
        <w:rPr>
          <w:rFonts w:eastAsia="Arial" w:cs="Times New Roman"/>
          <w:color w:val="000000"/>
          <w:szCs w:val="24"/>
        </w:rPr>
        <w:t xml:space="preserve">Student Name </w:t>
      </w:r>
    </w:p>
    <w:p w14:paraId="0F5DE865" w14:textId="77777777" w:rsidR="00404479" w:rsidRDefault="00404479" w:rsidP="00DC3A1C">
      <w:pPr>
        <w:spacing w:after="0"/>
        <w:contextualSpacing/>
        <w:jc w:val="center"/>
        <w:rPr>
          <w:rFonts w:eastAsia="Arial" w:cs="Times New Roman"/>
          <w:color w:val="000000"/>
          <w:szCs w:val="24"/>
        </w:rPr>
      </w:pPr>
      <w:r>
        <w:rPr>
          <w:rFonts w:eastAsia="Arial" w:cs="Times New Roman"/>
          <w:color w:val="000000"/>
          <w:szCs w:val="24"/>
        </w:rPr>
        <w:t>University</w:t>
      </w:r>
    </w:p>
    <w:p w14:paraId="20A93061" w14:textId="77777777" w:rsidR="00404479" w:rsidRDefault="00404479" w:rsidP="00DC3A1C">
      <w:pPr>
        <w:spacing w:after="0"/>
        <w:contextualSpacing/>
        <w:jc w:val="center"/>
        <w:rPr>
          <w:rFonts w:eastAsia="Arial" w:cs="Times New Roman"/>
          <w:color w:val="000000"/>
          <w:szCs w:val="24"/>
        </w:rPr>
      </w:pPr>
      <w:r>
        <w:rPr>
          <w:rFonts w:eastAsia="Arial" w:cs="Times New Roman"/>
          <w:color w:val="000000"/>
          <w:szCs w:val="24"/>
        </w:rPr>
        <w:t>Course</w:t>
      </w:r>
    </w:p>
    <w:p w14:paraId="15B1A9DF" w14:textId="77777777" w:rsidR="00404479" w:rsidRDefault="00404479" w:rsidP="00DC3A1C">
      <w:pPr>
        <w:spacing w:after="0"/>
        <w:contextualSpacing/>
        <w:jc w:val="center"/>
        <w:rPr>
          <w:rFonts w:eastAsia="Arial" w:cs="Times New Roman"/>
          <w:color w:val="000000"/>
          <w:szCs w:val="24"/>
        </w:rPr>
      </w:pPr>
      <w:r>
        <w:rPr>
          <w:rFonts w:eastAsia="Arial" w:cs="Times New Roman"/>
          <w:color w:val="000000"/>
          <w:szCs w:val="24"/>
        </w:rPr>
        <w:t>Professor Name</w:t>
      </w:r>
    </w:p>
    <w:p w14:paraId="5BCE7F11" w14:textId="77777777" w:rsidR="00404479" w:rsidRDefault="00404479" w:rsidP="00DC3A1C">
      <w:pPr>
        <w:spacing w:after="0"/>
        <w:contextualSpacing/>
        <w:jc w:val="center"/>
        <w:rPr>
          <w:rFonts w:eastAsia="Arial" w:cs="Times New Roman"/>
          <w:color w:val="000000"/>
          <w:szCs w:val="24"/>
        </w:rPr>
      </w:pPr>
      <w:r>
        <w:rPr>
          <w:rFonts w:eastAsia="Arial" w:cs="Times New Roman"/>
          <w:color w:val="000000"/>
          <w:szCs w:val="24"/>
        </w:rPr>
        <w:t>Date</w:t>
      </w:r>
    </w:p>
    <w:p w14:paraId="31404122" w14:textId="77777777" w:rsidR="00404479" w:rsidRDefault="00404479" w:rsidP="00DC3A1C">
      <w:pPr>
        <w:spacing w:after="0"/>
        <w:contextualSpacing/>
        <w:jc w:val="center"/>
        <w:rPr>
          <w:b/>
          <w:bCs/>
        </w:rPr>
      </w:pPr>
    </w:p>
    <w:p w14:paraId="1162A9D5" w14:textId="77777777" w:rsidR="00404479" w:rsidRDefault="00404479" w:rsidP="00DC3A1C">
      <w:pPr>
        <w:spacing w:after="0"/>
        <w:contextualSpacing/>
        <w:rPr>
          <w:b/>
          <w:bCs/>
        </w:rPr>
      </w:pPr>
      <w:r>
        <w:rPr>
          <w:b/>
          <w:bCs/>
        </w:rPr>
        <w:br w:type="page"/>
      </w:r>
    </w:p>
    <w:p w14:paraId="1CDE401C" w14:textId="01436412" w:rsidR="00F66245" w:rsidRDefault="00F66245" w:rsidP="00DC3A1C">
      <w:pPr>
        <w:spacing w:after="0"/>
        <w:contextualSpacing/>
        <w:jc w:val="center"/>
      </w:pPr>
      <w:r w:rsidRPr="00F66245">
        <w:rPr>
          <w:b/>
          <w:bCs/>
        </w:rPr>
        <w:lastRenderedPageBreak/>
        <w:t>Sarbanes Oxley Act 2002</w:t>
      </w:r>
    </w:p>
    <w:p w14:paraId="5AA42D2A" w14:textId="0525F96B" w:rsidR="00EE0D91" w:rsidRDefault="00CD6142" w:rsidP="00DC3A1C">
      <w:pPr>
        <w:spacing w:after="0"/>
        <w:contextualSpacing/>
      </w:pPr>
      <w:r w:rsidRPr="00CD6142">
        <w:t xml:space="preserve">The 2002 Sarbanes-Oxley Act is a mandatory statute that "ALL large and small organizations MUST comply with" (Sarbanes-Oxley Act 2002, 2006). "The act shall be named after Maryland Senator Paul Sarbanes and Ohio Representative Michael G. Oxley" (Sarbanes-Oxley Act 2002, 2006). This </w:t>
      </w:r>
      <w:r w:rsidR="00C041DD">
        <w:t>A</w:t>
      </w:r>
      <w:r w:rsidRPr="00CD6142">
        <w:t xml:space="preserve">ct, which </w:t>
      </w:r>
      <w:r w:rsidR="00C041DD">
        <w:t>Congress passed in reaction to Enron and WorldCom's financial scandals</w:t>
      </w:r>
      <w:r w:rsidRPr="00CD6142">
        <w:t>, was co-sponsored by the two men (Writing, 2013). It was soon recognized as the "Sarbanes-Oxley Act (SOX)" (Writing, 2013). The SOX's key purpose is to safeguard stockholders and the public from fraudulent corporate accounting practices and is upheld by the Securities and Exchange Commission (Writing, 2</w:t>
      </w:r>
      <w:r>
        <w:t>013</w:t>
      </w:r>
      <w:r w:rsidRPr="00CD6142">
        <w:t>).</w:t>
      </w:r>
    </w:p>
    <w:p w14:paraId="31276DDA" w14:textId="4CCA45BB" w:rsidR="00CD6142" w:rsidRDefault="00C041DD" w:rsidP="00DC3A1C">
      <w:pPr>
        <w:spacing w:after="0"/>
        <w:contextualSpacing/>
      </w:pPr>
      <w:r w:rsidRPr="00C041DD">
        <w:t xml:space="preserve">Major corporations are expected to comply with SOX's mandates-"private businesses are not required" (MONEYihub, 2011). The </w:t>
      </w:r>
      <w:r>
        <w:t>A</w:t>
      </w:r>
      <w:r w:rsidRPr="00C041DD">
        <w:t xml:space="preserve">ct allows corporations to be more accountable for their fraudulent accounting operations. When </w:t>
      </w:r>
      <w:r>
        <w:t>Congress passed the Sarbanes-Oxley Act</w:t>
      </w:r>
      <w:r w:rsidRPr="00C041DD">
        <w:t xml:space="preserve">, the accounting and accountability processes used by companies were changed. The </w:t>
      </w:r>
      <w:r>
        <w:t>A</w:t>
      </w:r>
      <w:r w:rsidRPr="00C041DD">
        <w:t xml:space="preserve">ct demands that top management and executives check the accuracy of financial reports. For any false reporting, this procedure keeps the top executive liable. Other controls carried out as part of the accounting process include: </w:t>
      </w:r>
      <w:r>
        <w:t xml:space="preserve">"disclosure in periodic reports, assessment of internal controls, real-time disclosure, and refrain from altering financial documents" (Writing, 2013).  </w:t>
      </w:r>
      <w:r w:rsidRPr="00C041DD">
        <w:t>All financial statements are correct, checked</w:t>
      </w:r>
      <w:r>
        <w:t>,</w:t>
      </w:r>
      <w:r w:rsidRPr="00C041DD">
        <w:t xml:space="preserve"> and published in the annual report of the organization. Actions are successful only if management takes these steps and is in accordance with the Act.</w:t>
      </w:r>
      <w:r>
        <w:t xml:space="preserve"> </w:t>
      </w:r>
    </w:p>
    <w:p w14:paraId="655F0404" w14:textId="0C6739E4" w:rsidR="006971D9" w:rsidRDefault="006971D9" w:rsidP="00DC3A1C">
      <w:pPr>
        <w:spacing w:after="0"/>
        <w:contextualSpacing/>
      </w:pPr>
      <w:r>
        <w:t>The guidelines also mandate businesses to carry out annual audits carried out by third-party audit firms. The SOX guidelines place more stringent restrictions on businesses engaged in fraudulent practices and muddling activities. In real</w:t>
      </w:r>
      <w:r w:rsidR="008B3B3F">
        <w:t>-</w:t>
      </w:r>
      <w:r>
        <w:t xml:space="preserve">time, the information </w:t>
      </w:r>
      <w:r w:rsidR="008B3B3F">
        <w:t xml:space="preserve">is </w:t>
      </w:r>
      <w:r>
        <w:t>given demands that it be easier for the average person to understand in a language to explain.</w:t>
      </w:r>
    </w:p>
    <w:p w14:paraId="06E1F7E5" w14:textId="7D7780BE" w:rsidR="006971D9" w:rsidRDefault="006971D9" w:rsidP="00DC3A1C">
      <w:pPr>
        <w:spacing w:after="0"/>
        <w:contextualSpacing/>
      </w:pPr>
      <w:r>
        <w:t>Most of the fines are based on 'minimal breaches, such as the absence of financial statements or the publishing of statements claiming that all financial information given by the organization is authori</w:t>
      </w:r>
      <w:r w:rsidR="008B3B3F">
        <w:t>z</w:t>
      </w:r>
      <w:r>
        <w:t>ed by the management' (Vitez, 2013). "The possible penalties may be up to 20 years in prison for changing documents" (Writing, 2013)</w:t>
      </w:r>
      <w:r w:rsidR="00BC060B">
        <w:t>.</w:t>
      </w:r>
    </w:p>
    <w:p w14:paraId="56830307" w14:textId="77777777" w:rsidR="00BC060B" w:rsidRDefault="00BC060B" w:rsidP="00DC3A1C">
      <w:pPr>
        <w:spacing w:after="0"/>
        <w:contextualSpacing/>
        <w:rPr>
          <w:b/>
        </w:rPr>
      </w:pPr>
      <w:r>
        <w:rPr>
          <w:b/>
        </w:rPr>
        <w:br w:type="page"/>
      </w:r>
    </w:p>
    <w:p w14:paraId="6C92EB49" w14:textId="7327BCCD" w:rsidR="00BC060B" w:rsidRPr="00BC060B" w:rsidRDefault="00BC060B" w:rsidP="00DC3A1C">
      <w:pPr>
        <w:spacing w:after="0"/>
        <w:contextualSpacing/>
        <w:jc w:val="center"/>
        <w:rPr>
          <w:b/>
        </w:rPr>
      </w:pPr>
      <w:r w:rsidRPr="00BC060B">
        <w:rPr>
          <w:b/>
        </w:rPr>
        <w:t>References</w:t>
      </w:r>
    </w:p>
    <w:p w14:paraId="3A8F00D9" w14:textId="77777777" w:rsidR="0089035D" w:rsidRDefault="0089035D" w:rsidP="00DC3A1C">
      <w:pPr>
        <w:pStyle w:val="APAReference"/>
        <w:contextualSpacing/>
      </w:pPr>
      <w:bookmarkStart w:id="1" w:name="refBk_1"/>
      <w:r w:rsidRPr="0089035D">
        <w:t>MONEYihub. (2011). </w:t>
      </w:r>
      <w:r w:rsidRPr="0089035D">
        <w:rPr>
          <w:i/>
          <w:iCs/>
        </w:rPr>
        <w:t>Important Aspects of Sarbanes Oxley Compliance (SOX)</w:t>
      </w:r>
      <w:r w:rsidRPr="0089035D">
        <w:t>. </w:t>
      </w:r>
      <w:hyperlink r:id="rId8" w:history="1">
        <w:r w:rsidRPr="0089035D">
          <w:rPr>
            <w:rStyle w:val="Hyperlink"/>
          </w:rPr>
          <w:t>https://www.moneyihub.com/important-aspects-of-sarbanes-oxley-compliance-sox/</w:t>
        </w:r>
      </w:hyperlink>
    </w:p>
    <w:p w14:paraId="68BF9ED4" w14:textId="1C8D4030" w:rsidR="0089035D" w:rsidRDefault="00BC060B" w:rsidP="00DC3A1C">
      <w:pPr>
        <w:pStyle w:val="APAReference"/>
        <w:contextualSpacing/>
      </w:pPr>
      <w:r>
        <w:t xml:space="preserve">Sarbanes-Oxley Act 2002. (2006). The Sarbanes-Oxley Act. </w:t>
      </w:r>
      <w:hyperlink r:id="rId9" w:history="1">
        <w:r w:rsidR="0089035D" w:rsidRPr="00484472">
          <w:rPr>
            <w:rStyle w:val="Hyperlink"/>
          </w:rPr>
          <w:t>http://www.soxlaw.com/</w:t>
        </w:r>
      </w:hyperlink>
      <w:bookmarkStart w:id="2" w:name="refBk_2"/>
      <w:bookmarkEnd w:id="1"/>
    </w:p>
    <w:p w14:paraId="3967BB9F" w14:textId="2BCBEA47" w:rsidR="0089035D" w:rsidRDefault="00BC060B" w:rsidP="00DC3A1C">
      <w:pPr>
        <w:pStyle w:val="APAReference"/>
        <w:contextualSpacing/>
      </w:pPr>
      <w:r>
        <w:t>Vitez, O. (2013). What Are the Disadvantages of Sarbanes Oxley?</w:t>
      </w:r>
      <w:r w:rsidR="0089035D">
        <w:t xml:space="preserve"> </w:t>
      </w:r>
      <w:hyperlink r:id="rId10" w:history="1">
        <w:r w:rsidR="0089035D" w:rsidRPr="00484472">
          <w:rPr>
            <w:rStyle w:val="Hyperlink"/>
          </w:rPr>
          <w:t>http://www.ehow.com/about_5494421_disadvantages-sarbanes-oxley.html</w:t>
        </w:r>
      </w:hyperlink>
      <w:bookmarkStart w:id="3" w:name="refBk_3"/>
      <w:bookmarkEnd w:id="2"/>
    </w:p>
    <w:p w14:paraId="18658DEC" w14:textId="0BB42201" w:rsidR="00BC060B" w:rsidRDefault="00BC060B" w:rsidP="00DC3A1C">
      <w:pPr>
        <w:pStyle w:val="APAReference"/>
        <w:contextualSpacing/>
      </w:pPr>
      <w:r>
        <w:t xml:space="preserve">Writing, A. (2013). Sarbanes Oxley Requirements. </w:t>
      </w:r>
      <w:hyperlink r:id="rId11" w:history="1">
        <w:r w:rsidR="0089035D" w:rsidRPr="00484472">
          <w:rPr>
            <w:rStyle w:val="Hyperlink"/>
          </w:rPr>
          <w:t>http://www.ehow.com/list_6630996_sarbanes-oxley-requirements.html</w:t>
        </w:r>
      </w:hyperlink>
      <w:bookmarkEnd w:id="3"/>
      <w:r w:rsidR="0089035D">
        <w:t xml:space="preserve"> </w:t>
      </w:r>
    </w:p>
    <w:bookmarkEnd w:id="0"/>
    <w:p w14:paraId="0120EE3F" w14:textId="77777777" w:rsidR="00BC060B" w:rsidRDefault="00BC060B" w:rsidP="00DC3A1C">
      <w:pPr>
        <w:spacing w:after="0"/>
        <w:contextualSpacing/>
      </w:pPr>
    </w:p>
    <w:sectPr w:rsidR="00BC060B">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37205A" w14:textId="77777777" w:rsidR="0090545C" w:rsidRDefault="0090545C" w:rsidP="005F09E3">
      <w:pPr>
        <w:spacing w:after="0" w:line="240" w:lineRule="auto"/>
      </w:pPr>
      <w:r>
        <w:separator/>
      </w:r>
    </w:p>
  </w:endnote>
  <w:endnote w:type="continuationSeparator" w:id="0">
    <w:p w14:paraId="333FC6E8" w14:textId="77777777" w:rsidR="0090545C" w:rsidRDefault="0090545C" w:rsidP="005F0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071BC2" w14:textId="77777777" w:rsidR="0090545C" w:rsidRDefault="0090545C" w:rsidP="005F09E3">
      <w:pPr>
        <w:spacing w:after="0" w:line="240" w:lineRule="auto"/>
      </w:pPr>
      <w:r>
        <w:separator/>
      </w:r>
    </w:p>
  </w:footnote>
  <w:footnote w:type="continuationSeparator" w:id="0">
    <w:p w14:paraId="705515D0" w14:textId="77777777" w:rsidR="0090545C" w:rsidRDefault="0090545C" w:rsidP="005F09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2344128"/>
      <w:docPartObj>
        <w:docPartGallery w:val="Page Numbers (Top of Page)"/>
        <w:docPartUnique/>
      </w:docPartObj>
    </w:sdtPr>
    <w:sdtEndPr>
      <w:rPr>
        <w:noProof/>
      </w:rPr>
    </w:sdtEndPr>
    <w:sdtContent>
      <w:p w14:paraId="1A4D257A" w14:textId="4685C947" w:rsidR="005F09E3" w:rsidRDefault="005F09E3">
        <w:pPr>
          <w:pStyle w:val="Header"/>
          <w:jc w:val="right"/>
        </w:pPr>
        <w:r>
          <w:fldChar w:fldCharType="begin"/>
        </w:r>
        <w:r>
          <w:instrText xml:space="preserve"> PAGE   \* MERGEFORMAT </w:instrText>
        </w:r>
        <w:r>
          <w:fldChar w:fldCharType="separate"/>
        </w:r>
        <w:r w:rsidR="0090545C">
          <w:rPr>
            <w:noProof/>
          </w:rPr>
          <w:t>1</w:t>
        </w:r>
        <w:r>
          <w:rPr>
            <w:noProof/>
          </w:rPr>
          <w:fldChar w:fldCharType="end"/>
        </w:r>
      </w:p>
    </w:sdtContent>
  </w:sdt>
  <w:p w14:paraId="6A80485C" w14:textId="77777777" w:rsidR="005F09E3" w:rsidRDefault="005F09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UyMDe0NDUCsSxMlXSUglOLizPz80AKDGsBeb6YUywAAAA="/>
  </w:docVars>
  <w:rsids>
    <w:rsidRoot w:val="00CD6142"/>
    <w:rsid w:val="00404479"/>
    <w:rsid w:val="005F09E3"/>
    <w:rsid w:val="006971D9"/>
    <w:rsid w:val="0089035D"/>
    <w:rsid w:val="008B3B3F"/>
    <w:rsid w:val="0090545C"/>
    <w:rsid w:val="00BC060B"/>
    <w:rsid w:val="00C041DD"/>
    <w:rsid w:val="00C17FF2"/>
    <w:rsid w:val="00CD6142"/>
    <w:rsid w:val="00DC3A1C"/>
    <w:rsid w:val="00EE0D91"/>
    <w:rsid w:val="00F66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73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9E3"/>
  </w:style>
  <w:style w:type="paragraph" w:styleId="Footer">
    <w:name w:val="footer"/>
    <w:basedOn w:val="Normal"/>
    <w:link w:val="FooterChar"/>
    <w:uiPriority w:val="99"/>
    <w:unhideWhenUsed/>
    <w:rsid w:val="005F0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9E3"/>
  </w:style>
  <w:style w:type="paragraph" w:customStyle="1" w:styleId="APAReference">
    <w:name w:val="APA Reference"/>
    <w:basedOn w:val="Normal"/>
    <w:rsid w:val="00BC060B"/>
    <w:pPr>
      <w:overflowPunct w:val="0"/>
      <w:autoSpaceDE w:val="0"/>
      <w:autoSpaceDN w:val="0"/>
      <w:adjustRightInd w:val="0"/>
      <w:spacing w:after="0"/>
      <w:ind w:left="720" w:hanging="720"/>
    </w:pPr>
    <w:rPr>
      <w:rFonts w:eastAsia="Times New Roman" w:cs="Times New Roman"/>
      <w:szCs w:val="20"/>
    </w:rPr>
  </w:style>
  <w:style w:type="character" w:styleId="Hyperlink">
    <w:name w:val="Hyperlink"/>
    <w:basedOn w:val="DefaultParagraphFont"/>
    <w:uiPriority w:val="99"/>
    <w:unhideWhenUsed/>
    <w:rsid w:val="0089035D"/>
    <w:rPr>
      <w:color w:val="0563C1" w:themeColor="hyperlink"/>
      <w:u w:val="single"/>
    </w:rPr>
  </w:style>
  <w:style w:type="character" w:customStyle="1" w:styleId="UnresolvedMention">
    <w:name w:val="Unresolved Mention"/>
    <w:basedOn w:val="DefaultParagraphFont"/>
    <w:uiPriority w:val="99"/>
    <w:semiHidden/>
    <w:unhideWhenUsed/>
    <w:rsid w:val="0089035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9E3"/>
  </w:style>
  <w:style w:type="paragraph" w:styleId="Footer">
    <w:name w:val="footer"/>
    <w:basedOn w:val="Normal"/>
    <w:link w:val="FooterChar"/>
    <w:uiPriority w:val="99"/>
    <w:unhideWhenUsed/>
    <w:rsid w:val="005F0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9E3"/>
  </w:style>
  <w:style w:type="paragraph" w:customStyle="1" w:styleId="APAReference">
    <w:name w:val="APA Reference"/>
    <w:basedOn w:val="Normal"/>
    <w:rsid w:val="00BC060B"/>
    <w:pPr>
      <w:overflowPunct w:val="0"/>
      <w:autoSpaceDE w:val="0"/>
      <w:autoSpaceDN w:val="0"/>
      <w:adjustRightInd w:val="0"/>
      <w:spacing w:after="0"/>
      <w:ind w:left="720" w:hanging="720"/>
    </w:pPr>
    <w:rPr>
      <w:rFonts w:eastAsia="Times New Roman" w:cs="Times New Roman"/>
      <w:szCs w:val="20"/>
    </w:rPr>
  </w:style>
  <w:style w:type="character" w:styleId="Hyperlink">
    <w:name w:val="Hyperlink"/>
    <w:basedOn w:val="DefaultParagraphFont"/>
    <w:uiPriority w:val="99"/>
    <w:unhideWhenUsed/>
    <w:rsid w:val="0089035D"/>
    <w:rPr>
      <w:color w:val="0563C1" w:themeColor="hyperlink"/>
      <w:u w:val="single"/>
    </w:rPr>
  </w:style>
  <w:style w:type="character" w:customStyle="1" w:styleId="UnresolvedMention">
    <w:name w:val="Unresolved Mention"/>
    <w:basedOn w:val="DefaultParagraphFont"/>
    <w:uiPriority w:val="99"/>
    <w:semiHidden/>
    <w:unhideWhenUsed/>
    <w:rsid w:val="008903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023774">
      <w:bodyDiv w:val="1"/>
      <w:marLeft w:val="0"/>
      <w:marRight w:val="0"/>
      <w:marTop w:val="0"/>
      <w:marBottom w:val="0"/>
      <w:divBdr>
        <w:top w:val="none" w:sz="0" w:space="0" w:color="auto"/>
        <w:left w:val="none" w:sz="0" w:space="0" w:color="auto"/>
        <w:bottom w:val="none" w:sz="0" w:space="0" w:color="auto"/>
        <w:right w:val="none" w:sz="0" w:space="0" w:color="auto"/>
      </w:divBdr>
    </w:div>
    <w:div w:id="136794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neyihub.com/important-aspects-of-sarbanes-oxley-compliance-sox/"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how.com/list_6630996_sarbanes-oxley-requirements.html" TargetMode="External"/><Relationship Id="rId5" Type="http://schemas.openxmlformats.org/officeDocument/2006/relationships/webSettings" Target="webSettings.xml"/><Relationship Id="rId10" Type="http://schemas.openxmlformats.org/officeDocument/2006/relationships/hyperlink" Target="http://www.ehow.com/about_5494421_disadvantages-sarbanes-oxley.html" TargetMode="External"/><Relationship Id="rId4" Type="http://schemas.openxmlformats.org/officeDocument/2006/relationships/settings" Target="settings.xml"/><Relationship Id="rId9" Type="http://schemas.openxmlformats.org/officeDocument/2006/relationships/hyperlink" Target="http://www.soxlaw.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A8650-512A-4AA8-B08E-A04A5F096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2021-01-16T04:03:00Z</dcterms:created>
  <dcterms:modified xsi:type="dcterms:W3CDTF">2021-01-16T04:03:00Z</dcterms:modified>
</cp:coreProperties>
</file>