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147ED" w:rsidRPr="003F0B4D" w:rsidP="003F0B4D">
      <w:pPr>
        <w:spacing w:after="0" w:line="480" w:lineRule="auto"/>
        <w:rPr>
          <w:rFonts w:ascii="Times New Roman" w:hAnsi="Times New Roman" w:cs="Times New Roman"/>
          <w:sz w:val="24"/>
          <w:szCs w:val="24"/>
        </w:rPr>
      </w:pPr>
    </w:p>
    <w:p w:rsidR="00E147ED" w:rsidRPr="003F0B4D" w:rsidP="003F0B4D">
      <w:pPr>
        <w:spacing w:after="0" w:line="480" w:lineRule="auto"/>
        <w:rPr>
          <w:rFonts w:ascii="Times New Roman" w:hAnsi="Times New Roman" w:cs="Times New Roman"/>
          <w:sz w:val="24"/>
          <w:szCs w:val="24"/>
        </w:rPr>
      </w:pPr>
    </w:p>
    <w:p w:rsidR="00E147ED" w:rsidRPr="003F0B4D" w:rsidP="003F0B4D">
      <w:pPr>
        <w:spacing w:after="0" w:line="480" w:lineRule="auto"/>
        <w:rPr>
          <w:rFonts w:ascii="Times New Roman" w:hAnsi="Times New Roman" w:cs="Times New Roman"/>
          <w:sz w:val="24"/>
          <w:szCs w:val="24"/>
        </w:rPr>
      </w:pPr>
    </w:p>
    <w:p w:rsidR="00E147ED" w:rsidRPr="003F0B4D" w:rsidP="003F0B4D">
      <w:pPr>
        <w:spacing w:after="0" w:line="480" w:lineRule="auto"/>
        <w:rPr>
          <w:rFonts w:ascii="Times New Roman" w:hAnsi="Times New Roman" w:cs="Times New Roman"/>
          <w:sz w:val="24"/>
          <w:szCs w:val="24"/>
        </w:rPr>
      </w:pPr>
    </w:p>
    <w:p w:rsidR="00E147ED" w:rsidRPr="003F0B4D" w:rsidP="003F0B4D">
      <w:pPr>
        <w:spacing w:after="0" w:line="480" w:lineRule="auto"/>
        <w:jc w:val="center"/>
        <w:rPr>
          <w:rFonts w:ascii="Times New Roman" w:hAnsi="Times New Roman" w:cs="Times New Roman"/>
          <w:b/>
          <w:sz w:val="24"/>
          <w:szCs w:val="24"/>
        </w:rPr>
      </w:pPr>
      <w:r w:rsidRPr="003F0B4D">
        <w:rPr>
          <w:rFonts w:ascii="Times New Roman" w:hAnsi="Times New Roman" w:cs="Times New Roman"/>
          <w:b/>
          <w:sz w:val="24"/>
          <w:szCs w:val="24"/>
        </w:rPr>
        <w:t>Scaffolding</w:t>
      </w:r>
    </w:p>
    <w:p w:rsidR="00185B2E" w:rsidRPr="003F0B4D" w:rsidP="003F0B4D">
      <w:pPr>
        <w:spacing w:after="0" w:line="480" w:lineRule="auto"/>
        <w:jc w:val="center"/>
        <w:rPr>
          <w:rFonts w:ascii="Times New Roman" w:hAnsi="Times New Roman" w:cs="Times New Roman"/>
          <w:sz w:val="24"/>
          <w:szCs w:val="24"/>
        </w:rPr>
      </w:pPr>
    </w:p>
    <w:p w:rsidR="00185B2E" w:rsidRPr="003F0B4D" w:rsidP="003F0B4D">
      <w:pPr>
        <w:spacing w:after="0" w:line="480" w:lineRule="auto"/>
        <w:jc w:val="center"/>
        <w:rPr>
          <w:rFonts w:ascii="Times New Roman" w:hAnsi="Times New Roman" w:cs="Times New Roman"/>
          <w:sz w:val="24"/>
          <w:szCs w:val="24"/>
        </w:rPr>
      </w:pPr>
    </w:p>
    <w:p w:rsidR="00185B2E" w:rsidRPr="003F0B4D" w:rsidP="003F0B4D">
      <w:pPr>
        <w:spacing w:after="0" w:line="480" w:lineRule="auto"/>
        <w:jc w:val="center"/>
        <w:rPr>
          <w:rFonts w:ascii="Times New Roman" w:hAnsi="Times New Roman" w:cs="Times New Roman"/>
          <w:sz w:val="24"/>
          <w:szCs w:val="24"/>
        </w:rPr>
      </w:pPr>
    </w:p>
    <w:p w:rsidR="00185B2E" w:rsidRPr="003F0B4D" w:rsidP="003F0B4D">
      <w:pPr>
        <w:spacing w:after="0" w:line="480" w:lineRule="auto"/>
        <w:jc w:val="center"/>
        <w:rPr>
          <w:rFonts w:ascii="Times New Roman" w:hAnsi="Times New Roman" w:cs="Times New Roman"/>
          <w:sz w:val="24"/>
          <w:szCs w:val="24"/>
        </w:rPr>
      </w:pPr>
      <w:r w:rsidRPr="003F0B4D">
        <w:rPr>
          <w:rFonts w:ascii="Times New Roman" w:hAnsi="Times New Roman" w:cs="Times New Roman"/>
          <w:sz w:val="24"/>
          <w:szCs w:val="24"/>
        </w:rPr>
        <w:t>Student’s Name</w:t>
      </w:r>
    </w:p>
    <w:p w:rsidR="00185B2E" w:rsidRPr="003F0B4D" w:rsidP="003F0B4D">
      <w:pPr>
        <w:spacing w:after="0" w:line="480" w:lineRule="auto"/>
        <w:jc w:val="center"/>
        <w:rPr>
          <w:rFonts w:ascii="Times New Roman" w:hAnsi="Times New Roman" w:cs="Times New Roman"/>
          <w:sz w:val="24"/>
          <w:szCs w:val="24"/>
        </w:rPr>
      </w:pPr>
      <w:r w:rsidRPr="003F0B4D">
        <w:rPr>
          <w:rFonts w:ascii="Times New Roman" w:hAnsi="Times New Roman" w:cs="Times New Roman"/>
          <w:sz w:val="24"/>
          <w:szCs w:val="24"/>
        </w:rPr>
        <w:t>Department, University</w:t>
      </w:r>
    </w:p>
    <w:p w:rsidR="00185B2E" w:rsidRPr="003F0B4D" w:rsidP="003F0B4D">
      <w:pPr>
        <w:spacing w:after="0" w:line="480" w:lineRule="auto"/>
        <w:jc w:val="center"/>
        <w:rPr>
          <w:rFonts w:ascii="Times New Roman" w:hAnsi="Times New Roman" w:cs="Times New Roman"/>
          <w:sz w:val="24"/>
          <w:szCs w:val="24"/>
        </w:rPr>
      </w:pPr>
      <w:r w:rsidRPr="003F0B4D">
        <w:rPr>
          <w:rFonts w:ascii="Times New Roman" w:hAnsi="Times New Roman" w:cs="Times New Roman"/>
          <w:sz w:val="24"/>
          <w:szCs w:val="24"/>
        </w:rPr>
        <w:t>Course Code: Course Name</w:t>
      </w:r>
    </w:p>
    <w:p w:rsidR="00185B2E" w:rsidRPr="003F0B4D" w:rsidP="003F0B4D">
      <w:pPr>
        <w:spacing w:after="0" w:line="480" w:lineRule="auto"/>
        <w:jc w:val="center"/>
        <w:rPr>
          <w:rFonts w:ascii="Times New Roman" w:hAnsi="Times New Roman" w:cs="Times New Roman"/>
          <w:sz w:val="24"/>
          <w:szCs w:val="24"/>
        </w:rPr>
      </w:pPr>
      <w:r w:rsidRPr="003F0B4D">
        <w:rPr>
          <w:rFonts w:ascii="Times New Roman" w:hAnsi="Times New Roman" w:cs="Times New Roman"/>
          <w:sz w:val="24"/>
          <w:szCs w:val="24"/>
        </w:rPr>
        <w:t>Student’s Name</w:t>
      </w:r>
    </w:p>
    <w:p w:rsidR="00E147ED" w:rsidRPr="003F0B4D" w:rsidP="003F0B4D">
      <w:pPr>
        <w:spacing w:after="0" w:line="480" w:lineRule="auto"/>
        <w:jc w:val="center"/>
        <w:rPr>
          <w:rFonts w:ascii="Times New Roman" w:hAnsi="Times New Roman" w:cs="Times New Roman"/>
          <w:sz w:val="24"/>
          <w:szCs w:val="24"/>
        </w:rPr>
      </w:pPr>
      <w:r w:rsidRPr="003F0B4D">
        <w:rPr>
          <w:rFonts w:ascii="Times New Roman" w:hAnsi="Times New Roman" w:cs="Times New Roman"/>
          <w:sz w:val="24"/>
          <w:szCs w:val="24"/>
        </w:rPr>
        <w:t>Date</w:t>
      </w:r>
      <w:r w:rsidRPr="003F0B4D">
        <w:rPr>
          <w:rFonts w:ascii="Times New Roman" w:hAnsi="Times New Roman" w:cs="Times New Roman"/>
          <w:sz w:val="24"/>
          <w:szCs w:val="24"/>
        </w:rPr>
        <w:br w:type="page"/>
      </w:r>
    </w:p>
    <w:p w:rsidR="00185B2E" w:rsidRPr="003F0B4D" w:rsidP="003F0B4D">
      <w:pPr>
        <w:spacing w:after="0" w:line="480" w:lineRule="auto"/>
        <w:jc w:val="center"/>
        <w:rPr>
          <w:rFonts w:ascii="Times New Roman" w:hAnsi="Times New Roman" w:cs="Times New Roman"/>
          <w:b/>
          <w:sz w:val="24"/>
          <w:szCs w:val="24"/>
        </w:rPr>
      </w:pPr>
      <w:r w:rsidRPr="003F0B4D">
        <w:rPr>
          <w:rFonts w:ascii="Times New Roman" w:hAnsi="Times New Roman" w:cs="Times New Roman"/>
          <w:b/>
          <w:sz w:val="24"/>
          <w:szCs w:val="24"/>
        </w:rPr>
        <w:t>Scaffolding</w:t>
      </w:r>
    </w:p>
    <w:p w:rsidR="001E6508" w:rsidRPr="003F0B4D" w:rsidP="003F0B4D">
      <w:pPr>
        <w:spacing w:after="0" w:line="480" w:lineRule="auto"/>
        <w:ind w:firstLine="720"/>
        <w:rPr>
          <w:rFonts w:ascii="Times New Roman" w:hAnsi="Times New Roman" w:cs="Times New Roman"/>
          <w:sz w:val="24"/>
          <w:szCs w:val="24"/>
        </w:rPr>
      </w:pPr>
      <w:r w:rsidRPr="003F0B4D">
        <w:rPr>
          <w:rFonts w:ascii="Times New Roman" w:hAnsi="Times New Roman" w:cs="Times New Roman"/>
          <w:sz w:val="24"/>
          <w:szCs w:val="24"/>
        </w:rPr>
        <w:t>The term scaffolding</w:t>
      </w:r>
      <w:r w:rsidRPr="003F0B4D" w:rsidR="00B73B2D">
        <w:rPr>
          <w:rFonts w:ascii="Times New Roman" w:hAnsi="Times New Roman" w:cs="Times New Roman"/>
          <w:sz w:val="24"/>
          <w:szCs w:val="24"/>
        </w:rPr>
        <w:t xml:space="preserve"> </w:t>
      </w:r>
      <w:r w:rsidRPr="003F0B4D">
        <w:rPr>
          <w:rFonts w:ascii="Times New Roman" w:hAnsi="Times New Roman" w:cs="Times New Roman"/>
          <w:sz w:val="24"/>
          <w:szCs w:val="24"/>
        </w:rPr>
        <w:t xml:space="preserve">defines </w:t>
      </w:r>
      <w:r w:rsidRPr="003F0B4D" w:rsidR="00B73B2D">
        <w:rPr>
          <w:rFonts w:ascii="Times New Roman" w:hAnsi="Times New Roman" w:cs="Times New Roman"/>
          <w:sz w:val="24"/>
          <w:szCs w:val="24"/>
        </w:rPr>
        <w:t xml:space="preserve">a temporary structure used as a platform for the major project under </w:t>
      </w:r>
      <w:r w:rsidRPr="003F0B4D">
        <w:rPr>
          <w:rFonts w:ascii="Times New Roman" w:hAnsi="Times New Roman" w:cs="Times New Roman"/>
          <w:sz w:val="24"/>
          <w:szCs w:val="24"/>
        </w:rPr>
        <w:t>construction</w:t>
      </w:r>
      <w:r w:rsidRPr="003F0B4D" w:rsidR="00B73B2D">
        <w:rPr>
          <w:rFonts w:ascii="Times New Roman" w:hAnsi="Times New Roman" w:cs="Times New Roman"/>
          <w:sz w:val="24"/>
          <w:szCs w:val="24"/>
        </w:rPr>
        <w:t xml:space="preserve">. The scaffold </w:t>
      </w:r>
      <w:r w:rsidRPr="003F0B4D">
        <w:rPr>
          <w:rFonts w:ascii="Times New Roman" w:hAnsi="Times New Roman" w:cs="Times New Roman"/>
          <w:sz w:val="24"/>
          <w:szCs w:val="24"/>
        </w:rPr>
        <w:t>serves</w:t>
      </w:r>
      <w:r w:rsidRPr="003F0B4D" w:rsidR="00B73B2D">
        <w:rPr>
          <w:rFonts w:ascii="Times New Roman" w:hAnsi="Times New Roman" w:cs="Times New Roman"/>
          <w:sz w:val="24"/>
          <w:szCs w:val="24"/>
        </w:rPr>
        <w:t xml:space="preserve"> </w:t>
      </w:r>
      <w:r w:rsidRPr="003F0B4D">
        <w:rPr>
          <w:rFonts w:ascii="Times New Roman" w:hAnsi="Times New Roman" w:cs="Times New Roman"/>
          <w:sz w:val="24"/>
          <w:szCs w:val="24"/>
        </w:rPr>
        <w:t>multiple</w:t>
      </w:r>
      <w:r w:rsidRPr="003F0B4D" w:rsidR="00B73B2D">
        <w:rPr>
          <w:rFonts w:ascii="Times New Roman" w:hAnsi="Times New Roman" w:cs="Times New Roman"/>
          <w:sz w:val="24"/>
          <w:szCs w:val="24"/>
        </w:rPr>
        <w:t xml:space="preserve"> functions, such as providing access, support, and carrying load used in the construction process. The temporary structure supports the crew and </w:t>
      </w:r>
      <w:r w:rsidRPr="003F0B4D">
        <w:rPr>
          <w:rFonts w:ascii="Times New Roman" w:hAnsi="Times New Roman" w:cs="Times New Roman"/>
          <w:sz w:val="24"/>
          <w:szCs w:val="24"/>
        </w:rPr>
        <w:t>their</w:t>
      </w:r>
      <w:r w:rsidRPr="003F0B4D" w:rsidR="00B73B2D">
        <w:rPr>
          <w:rFonts w:ascii="Times New Roman" w:hAnsi="Times New Roman" w:cs="Times New Roman"/>
          <w:sz w:val="24"/>
          <w:szCs w:val="24"/>
        </w:rPr>
        <w:t xml:space="preserve"> tools, and </w:t>
      </w:r>
      <w:r w:rsidRPr="003F0B4D">
        <w:rPr>
          <w:rFonts w:ascii="Times New Roman" w:hAnsi="Times New Roman" w:cs="Times New Roman"/>
          <w:sz w:val="24"/>
          <w:szCs w:val="24"/>
        </w:rPr>
        <w:t>materials</w:t>
      </w:r>
      <w:r w:rsidRPr="003F0B4D" w:rsidR="00B73B2D">
        <w:rPr>
          <w:rFonts w:ascii="Times New Roman" w:hAnsi="Times New Roman" w:cs="Times New Roman"/>
          <w:sz w:val="24"/>
          <w:szCs w:val="24"/>
        </w:rPr>
        <w:t xml:space="preserve"> used. Additionally, it </w:t>
      </w:r>
      <w:r w:rsidRPr="003F0B4D">
        <w:rPr>
          <w:rFonts w:ascii="Times New Roman" w:hAnsi="Times New Roman" w:cs="Times New Roman"/>
          <w:sz w:val="24"/>
          <w:szCs w:val="24"/>
        </w:rPr>
        <w:t>proves</w:t>
      </w:r>
      <w:r w:rsidRPr="003F0B4D" w:rsidR="00B73B2D">
        <w:rPr>
          <w:rFonts w:ascii="Times New Roman" w:hAnsi="Times New Roman" w:cs="Times New Roman"/>
          <w:sz w:val="24"/>
          <w:szCs w:val="24"/>
        </w:rPr>
        <w:t xml:space="preserve"> significant in </w:t>
      </w:r>
      <w:r w:rsidRPr="003F0B4D">
        <w:rPr>
          <w:rFonts w:ascii="Times New Roman" w:hAnsi="Times New Roman" w:cs="Times New Roman"/>
          <w:sz w:val="24"/>
          <w:szCs w:val="24"/>
        </w:rPr>
        <w:t>reaching</w:t>
      </w:r>
      <w:r w:rsidRPr="003F0B4D" w:rsidR="00B73B2D">
        <w:rPr>
          <w:rFonts w:ascii="Times New Roman" w:hAnsi="Times New Roman" w:cs="Times New Roman"/>
          <w:sz w:val="24"/>
          <w:szCs w:val="24"/>
        </w:rPr>
        <w:t xml:space="preserve"> </w:t>
      </w:r>
      <w:r w:rsidRPr="003F0B4D">
        <w:rPr>
          <w:rFonts w:ascii="Times New Roman" w:hAnsi="Times New Roman" w:cs="Times New Roman"/>
          <w:sz w:val="24"/>
          <w:szCs w:val="24"/>
        </w:rPr>
        <w:t>inaccessible</w:t>
      </w:r>
      <w:r w:rsidRPr="003F0B4D" w:rsidR="00B73B2D">
        <w:rPr>
          <w:rFonts w:ascii="Times New Roman" w:hAnsi="Times New Roman" w:cs="Times New Roman"/>
          <w:sz w:val="24"/>
          <w:szCs w:val="24"/>
        </w:rPr>
        <w:t xml:space="preserve"> points and </w:t>
      </w:r>
      <w:r w:rsidRPr="003F0B4D">
        <w:rPr>
          <w:rFonts w:ascii="Times New Roman" w:hAnsi="Times New Roman" w:cs="Times New Roman"/>
          <w:sz w:val="24"/>
          <w:szCs w:val="24"/>
        </w:rPr>
        <w:t>heights</w:t>
      </w:r>
      <w:r w:rsidRPr="003F0B4D" w:rsidR="00B73B2D">
        <w:rPr>
          <w:rFonts w:ascii="Times New Roman" w:hAnsi="Times New Roman" w:cs="Times New Roman"/>
          <w:sz w:val="24"/>
          <w:szCs w:val="24"/>
        </w:rPr>
        <w:t>. It also enables the construction, maintenance</w:t>
      </w:r>
      <w:r w:rsidRPr="003F0B4D">
        <w:rPr>
          <w:rFonts w:ascii="Times New Roman" w:hAnsi="Times New Roman" w:cs="Times New Roman"/>
          <w:sz w:val="24"/>
          <w:szCs w:val="24"/>
        </w:rPr>
        <w:t xml:space="preserve">, and repair of structures. The primary materials used in scaffolding are timber and steel. The scaffold assembly can either be single, double, cantilever, suspended, trestle, or patented. There are various types of scaffolding, with each designed appropriate for its intended purpose. The </w:t>
      </w:r>
      <w:r w:rsidRPr="003F0B4D" w:rsidR="00436ED1">
        <w:rPr>
          <w:rFonts w:ascii="Times New Roman" w:hAnsi="Times New Roman" w:cs="Times New Roman"/>
          <w:sz w:val="24"/>
          <w:szCs w:val="24"/>
        </w:rPr>
        <w:t>types</w:t>
      </w:r>
      <w:r w:rsidRPr="003F0B4D">
        <w:rPr>
          <w:rFonts w:ascii="Times New Roman" w:hAnsi="Times New Roman" w:cs="Times New Roman"/>
          <w:sz w:val="24"/>
          <w:szCs w:val="24"/>
        </w:rPr>
        <w:t xml:space="preserve"> of scaffolds include;
</w:t>
      </w:r>
    </w:p>
    <w:p w:rsidR="00436ED1" w:rsidRPr="003F0B4D" w:rsidP="003F0B4D">
      <w:pPr>
        <w:pStyle w:val="Heading1"/>
        <w:spacing w:before="0"/>
        <w:rPr>
          <w:rFonts w:cs="Times New Roman"/>
          <w:szCs w:val="24"/>
        </w:rPr>
      </w:pPr>
      <w:r w:rsidRPr="003F0B4D">
        <w:rPr>
          <w:rFonts w:cs="Times New Roman"/>
          <w:szCs w:val="24"/>
        </w:rPr>
        <w:t>Supported Scaffolding</w:t>
      </w:r>
    </w:p>
    <w:p w:rsidR="00CE337F" w:rsidRPr="003F0B4D" w:rsidP="003F0B4D">
      <w:pPr>
        <w:spacing w:after="0" w:line="480" w:lineRule="auto"/>
        <w:ind w:firstLine="720"/>
        <w:rPr>
          <w:rFonts w:ascii="Times New Roman" w:hAnsi="Times New Roman" w:cs="Times New Roman"/>
          <w:sz w:val="24"/>
          <w:szCs w:val="24"/>
        </w:rPr>
      </w:pPr>
      <w:r w:rsidRPr="003F0B4D">
        <w:rPr>
          <w:rFonts w:ascii="Times New Roman" w:hAnsi="Times New Roman" w:cs="Times New Roman"/>
          <w:sz w:val="24"/>
          <w:szCs w:val="24"/>
        </w:rPr>
        <w:t xml:space="preserve">This type reflects the most widely known form of scaffolding by experts and laypeople alike. The building of the structure is </w:t>
      </w:r>
      <w:r w:rsidRPr="003F0B4D" w:rsidR="00E147ED">
        <w:rPr>
          <w:rFonts w:ascii="Times New Roman" w:hAnsi="Times New Roman" w:cs="Times New Roman"/>
          <w:sz w:val="24"/>
          <w:szCs w:val="24"/>
        </w:rPr>
        <w:t>beside</w:t>
      </w:r>
      <w:r w:rsidRPr="003F0B4D">
        <w:rPr>
          <w:rFonts w:ascii="Times New Roman" w:hAnsi="Times New Roman" w:cs="Times New Roman"/>
          <w:sz w:val="24"/>
          <w:szCs w:val="24"/>
        </w:rPr>
        <w:t xml:space="preserve"> the project and starts from the ground upwards. The</w:t>
      </w:r>
      <w:r w:rsidRPr="003F0B4D" w:rsidR="00E147ED">
        <w:rPr>
          <w:rFonts w:ascii="Times New Roman" w:hAnsi="Times New Roman" w:cs="Times New Roman"/>
          <w:sz w:val="24"/>
          <w:szCs w:val="24"/>
        </w:rPr>
        <w:t>re</w:t>
      </w:r>
      <w:r w:rsidRPr="003F0B4D">
        <w:rPr>
          <w:rFonts w:ascii="Times New Roman" w:hAnsi="Times New Roman" w:cs="Times New Roman"/>
          <w:sz w:val="24"/>
          <w:szCs w:val="24"/>
        </w:rPr>
        <w:t xml:space="preserve"> is a wide </w:t>
      </w:r>
      <w:r w:rsidRPr="003F0B4D" w:rsidR="00E147ED">
        <w:rPr>
          <w:rFonts w:ascii="Times New Roman" w:hAnsi="Times New Roman" w:cs="Times New Roman"/>
          <w:sz w:val="24"/>
          <w:szCs w:val="24"/>
        </w:rPr>
        <w:t>variety</w:t>
      </w:r>
      <w:r w:rsidRPr="003F0B4D">
        <w:rPr>
          <w:rFonts w:ascii="Times New Roman" w:hAnsi="Times New Roman" w:cs="Times New Roman"/>
          <w:sz w:val="24"/>
          <w:szCs w:val="24"/>
        </w:rPr>
        <w:t xml:space="preserve"> of materials used to construct this </w:t>
      </w:r>
      <w:r w:rsidRPr="003F0B4D" w:rsidR="00E147ED">
        <w:rPr>
          <w:rFonts w:ascii="Times New Roman" w:hAnsi="Times New Roman" w:cs="Times New Roman"/>
          <w:sz w:val="24"/>
          <w:szCs w:val="24"/>
        </w:rPr>
        <w:t>type</w:t>
      </w:r>
      <w:r w:rsidRPr="003F0B4D">
        <w:rPr>
          <w:rFonts w:ascii="Times New Roman" w:hAnsi="Times New Roman" w:cs="Times New Roman"/>
          <w:sz w:val="24"/>
          <w:szCs w:val="24"/>
        </w:rPr>
        <w:t xml:space="preserve"> of </w:t>
      </w:r>
      <w:r w:rsidRPr="003F0B4D" w:rsidR="00E147ED">
        <w:rPr>
          <w:rFonts w:ascii="Times New Roman" w:hAnsi="Times New Roman" w:cs="Times New Roman"/>
          <w:sz w:val="24"/>
          <w:szCs w:val="24"/>
        </w:rPr>
        <w:t>scaffolding ranging</w:t>
      </w:r>
      <w:r w:rsidRPr="003F0B4D">
        <w:rPr>
          <w:rFonts w:ascii="Times New Roman" w:hAnsi="Times New Roman" w:cs="Times New Roman"/>
          <w:sz w:val="24"/>
          <w:szCs w:val="24"/>
        </w:rPr>
        <w:t xml:space="preserve"> from timber, metal tubes and couplers, and bamboos. The </w:t>
      </w:r>
      <w:r w:rsidRPr="003F0B4D" w:rsidR="00E147ED">
        <w:rPr>
          <w:rFonts w:ascii="Times New Roman" w:hAnsi="Times New Roman" w:cs="Times New Roman"/>
          <w:sz w:val="24"/>
          <w:szCs w:val="24"/>
        </w:rPr>
        <w:t>project</w:t>
      </w:r>
      <w:r w:rsidRPr="003F0B4D">
        <w:rPr>
          <w:rFonts w:ascii="Times New Roman" w:hAnsi="Times New Roman" w:cs="Times New Roman"/>
          <w:sz w:val="24"/>
          <w:szCs w:val="24"/>
        </w:rPr>
        <w:t xml:space="preserve"> under construction and the ground provide the necessary support for the temporary structure. The supported </w:t>
      </w:r>
      <w:r w:rsidRPr="003F0B4D" w:rsidR="00E147ED">
        <w:rPr>
          <w:rFonts w:ascii="Times New Roman" w:hAnsi="Times New Roman" w:cs="Times New Roman"/>
          <w:sz w:val="24"/>
          <w:szCs w:val="24"/>
        </w:rPr>
        <w:t>scaffolds represent</w:t>
      </w:r>
      <w:r w:rsidRPr="003F0B4D">
        <w:rPr>
          <w:rFonts w:ascii="Times New Roman" w:hAnsi="Times New Roman" w:cs="Times New Roman"/>
          <w:sz w:val="24"/>
          <w:szCs w:val="24"/>
        </w:rPr>
        <w:t xml:space="preserve"> the most flexible and safest design to achieve elevation. Its flexibility is assessed from the ease of adding or </w:t>
      </w:r>
      <w:r w:rsidRPr="003F0B4D" w:rsidR="00E147ED">
        <w:rPr>
          <w:rFonts w:ascii="Times New Roman" w:hAnsi="Times New Roman" w:cs="Times New Roman"/>
          <w:sz w:val="24"/>
          <w:szCs w:val="24"/>
        </w:rPr>
        <w:t>removing</w:t>
      </w:r>
      <w:r w:rsidRPr="003F0B4D">
        <w:rPr>
          <w:rFonts w:ascii="Times New Roman" w:hAnsi="Times New Roman" w:cs="Times New Roman"/>
          <w:sz w:val="24"/>
          <w:szCs w:val="24"/>
        </w:rPr>
        <w:t xml:space="preserve"> consequent </w:t>
      </w:r>
      <w:r w:rsidRPr="003F0B4D" w:rsidR="00E147ED">
        <w:rPr>
          <w:rFonts w:ascii="Times New Roman" w:hAnsi="Times New Roman" w:cs="Times New Roman"/>
          <w:sz w:val="24"/>
          <w:szCs w:val="24"/>
        </w:rPr>
        <w:t>levels</w:t>
      </w:r>
      <w:r w:rsidRPr="003F0B4D">
        <w:rPr>
          <w:rFonts w:ascii="Times New Roman" w:hAnsi="Times New Roman" w:cs="Times New Roman"/>
          <w:sz w:val="24"/>
          <w:szCs w:val="24"/>
        </w:rPr>
        <w:t>.</w:t>
      </w:r>
    </w:p>
    <w:p w:rsidR="00436ED1" w:rsidRPr="003F0B4D" w:rsidP="003F0B4D">
      <w:pPr>
        <w:pStyle w:val="Heading1"/>
        <w:spacing w:before="0"/>
        <w:rPr>
          <w:rFonts w:cs="Times New Roman"/>
          <w:szCs w:val="24"/>
        </w:rPr>
      </w:pPr>
      <w:r w:rsidRPr="003F0B4D">
        <w:rPr>
          <w:rFonts w:cs="Times New Roman"/>
          <w:szCs w:val="24"/>
        </w:rPr>
        <w:t>Mobile Scaffolding</w:t>
      </w:r>
    </w:p>
    <w:p w:rsidR="00436ED1" w:rsidRPr="003F0B4D" w:rsidP="003F0B4D">
      <w:pPr>
        <w:spacing w:after="0" w:line="480" w:lineRule="auto"/>
        <w:ind w:firstLine="720"/>
        <w:rPr>
          <w:rFonts w:ascii="Times New Roman" w:hAnsi="Times New Roman" w:cs="Times New Roman"/>
          <w:sz w:val="24"/>
          <w:szCs w:val="24"/>
        </w:rPr>
      </w:pPr>
      <w:r w:rsidRPr="003F0B4D">
        <w:rPr>
          <w:rFonts w:ascii="Times New Roman" w:hAnsi="Times New Roman" w:cs="Times New Roman"/>
          <w:sz w:val="24"/>
          <w:szCs w:val="24"/>
        </w:rPr>
        <w:t xml:space="preserve">The </w:t>
      </w:r>
      <w:r w:rsidRPr="003F0B4D" w:rsidR="00E147ED">
        <w:rPr>
          <w:rFonts w:ascii="Times New Roman" w:hAnsi="Times New Roman" w:cs="Times New Roman"/>
          <w:sz w:val="24"/>
          <w:szCs w:val="24"/>
        </w:rPr>
        <w:t>design</w:t>
      </w:r>
      <w:r w:rsidRPr="003F0B4D">
        <w:rPr>
          <w:rFonts w:ascii="Times New Roman" w:hAnsi="Times New Roman" w:cs="Times New Roman"/>
          <w:sz w:val="24"/>
          <w:szCs w:val="24"/>
        </w:rPr>
        <w:t xml:space="preserve"> principle adopted for mobile scaffolding is the ability to move the structure without </w:t>
      </w:r>
      <w:r w:rsidRPr="003F0B4D">
        <w:rPr>
          <w:rFonts w:ascii="Times New Roman" w:hAnsi="Times New Roman" w:cs="Times New Roman"/>
          <w:sz w:val="24"/>
          <w:szCs w:val="24"/>
        </w:rPr>
        <w:t>constant dismantling and r</w:t>
      </w:r>
      <w:r w:rsidRPr="003F0B4D" w:rsidR="00E147ED">
        <w:rPr>
          <w:rFonts w:ascii="Times New Roman" w:hAnsi="Times New Roman" w:cs="Times New Roman"/>
          <w:sz w:val="24"/>
          <w:szCs w:val="24"/>
        </w:rPr>
        <w:t>e</w:t>
      </w:r>
      <w:r w:rsidRPr="003F0B4D">
        <w:rPr>
          <w:rFonts w:ascii="Times New Roman" w:hAnsi="Times New Roman" w:cs="Times New Roman"/>
          <w:sz w:val="24"/>
          <w:szCs w:val="24"/>
        </w:rPr>
        <w:t xml:space="preserve">assembly. </w:t>
      </w:r>
      <w:r w:rsidRPr="003F0B4D" w:rsidR="00E147ED">
        <w:rPr>
          <w:rFonts w:ascii="Times New Roman" w:hAnsi="Times New Roman" w:cs="Times New Roman"/>
          <w:sz w:val="24"/>
          <w:szCs w:val="24"/>
        </w:rPr>
        <w:t xml:space="preserve">Such considerations prove valuable to personnel working on substantial projects, particularly those with multiple construction sites within. The construction is similar to the supported scaffolding, with differences in stature and </w:t>
      </w:r>
      <w:r w:rsidRPr="003F0B4D" w:rsidR="00E147ED">
        <w:rPr>
          <w:rFonts w:ascii="Times New Roman" w:hAnsi="Times New Roman" w:cs="Times New Roman"/>
          <w:sz w:val="24"/>
          <w:szCs w:val="24"/>
        </w:rPr>
        <w:t>support. The scaffold is free-standing, and the points of support are castors. There are significant hazards associated with this type of scaffold, which presents the need for ensuring proper mounting of the structure on castors before commencing any work. 
</w:t>
      </w:r>
    </w:p>
    <w:p w:rsidR="00436ED1" w:rsidRPr="003F0B4D" w:rsidP="003F0B4D">
      <w:pPr>
        <w:pStyle w:val="Heading1"/>
        <w:spacing w:before="0"/>
        <w:rPr>
          <w:rFonts w:cs="Times New Roman"/>
          <w:szCs w:val="24"/>
        </w:rPr>
      </w:pPr>
      <w:r w:rsidRPr="003F0B4D">
        <w:rPr>
          <w:rFonts w:cs="Times New Roman"/>
          <w:szCs w:val="24"/>
        </w:rPr>
        <w:t>Suspended scaffolding</w:t>
      </w:r>
    </w:p>
    <w:p w:rsidR="00436ED1" w:rsidRPr="003F0B4D" w:rsidP="003F0B4D">
      <w:pPr>
        <w:spacing w:after="0" w:line="480" w:lineRule="auto"/>
        <w:ind w:firstLine="720"/>
        <w:rPr>
          <w:rFonts w:ascii="Times New Roman" w:hAnsi="Times New Roman" w:cs="Times New Roman"/>
          <w:sz w:val="24"/>
          <w:szCs w:val="24"/>
        </w:rPr>
      </w:pPr>
      <w:r w:rsidRPr="003F0B4D">
        <w:rPr>
          <w:rFonts w:ascii="Times New Roman" w:hAnsi="Times New Roman" w:cs="Times New Roman"/>
          <w:sz w:val="24"/>
          <w:szCs w:val="24"/>
        </w:rPr>
        <w:t>The design consideration for suspended scaffolds eliminates the need for supporting the temporary structure on the ground. It is a prudent consideration for very tall structures with no work necessary on its lower stories. The primary supports for the scaffold are the roof, where the structure hangs. The scaffold also allows for flexibility in moving side by side and rising to the different story needed by the personnel. The most widely adopted use for such designs is in window cleaners repair crew working on skyscrapers. This type of scaffolding is impractical for buildings with few stories. 
</w:t>
      </w:r>
    </w:p>
    <w:p w:rsidR="00E147ED" w:rsidP="003F0B4D">
      <w:pPr>
        <w:spacing w:after="0" w:line="480" w:lineRule="auto"/>
        <w:ind w:firstLine="720"/>
        <w:rPr>
          <w:rFonts w:ascii="Times New Roman" w:hAnsi="Times New Roman" w:cs="Times New Roman"/>
          <w:sz w:val="24"/>
          <w:szCs w:val="24"/>
        </w:rPr>
      </w:pPr>
      <w:r w:rsidRPr="003F0B4D">
        <w:rPr>
          <w:rFonts w:ascii="Times New Roman" w:hAnsi="Times New Roman" w:cs="Times New Roman"/>
          <w:sz w:val="24"/>
          <w:szCs w:val="24"/>
        </w:rPr>
        <w:t xml:space="preserve">Other notable types of scaffolding include aerial lift, cantilever, and birdcage scaffolds. </w:t>
      </w:r>
    </w:p>
    <w:p w:rsidR="003F0B4D" w:rsidP="003F0B4D">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228242" cy="3048000"/>
            <wp:effectExtent l="19050" t="0" r="0" b="0"/>
            <wp:docPr id="4" name="Picture 3" descr="Mobile Scaffol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84080" name="Mobile Scaffolds.jpg"/>
                    <pic:cNvPicPr/>
                  </pic:nvPicPr>
                  <pic:blipFill>
                    <a:blip xmlns:r="http://schemas.openxmlformats.org/officeDocument/2006/relationships" r:embed="rId4" cstate="print"/>
                    <a:stretch>
                      <a:fillRect/>
                    </a:stretch>
                  </pic:blipFill>
                  <pic:spPr>
                    <a:xfrm>
                      <a:off x="0" y="0"/>
                      <a:ext cx="3230367" cy="3050006"/>
                    </a:xfrm>
                    <a:prstGeom prst="rect">
                      <a:avLst/>
                    </a:prstGeom>
                  </pic:spPr>
                </pic:pic>
              </a:graphicData>
            </a:graphic>
          </wp:inline>
        </w:drawing>
      </w:r>
      <w:r>
        <w:rPr>
          <w:rFonts w:ascii="Times New Roman" w:hAnsi="Times New Roman" w:cs="Times New Roman"/>
          <w:noProof/>
          <w:sz w:val="24"/>
          <w:szCs w:val="24"/>
        </w:rPr>
        <w:drawing>
          <wp:inline distT="0" distB="0" distL="0" distR="0">
            <wp:extent cx="2606919" cy="3149309"/>
            <wp:effectExtent l="19050" t="0" r="2931" b="0"/>
            <wp:docPr id="6" name="Picture 5" descr="Suspended Scaffol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03158" name="Suspended Scaffolds.jpg"/>
                    <pic:cNvPicPr/>
                  </pic:nvPicPr>
                  <pic:blipFill>
                    <a:blip xmlns:r="http://schemas.openxmlformats.org/officeDocument/2006/relationships" r:embed="rId5" cstate="print"/>
                    <a:stretch>
                      <a:fillRect/>
                    </a:stretch>
                  </pic:blipFill>
                  <pic:spPr>
                    <a:xfrm>
                      <a:off x="0" y="0"/>
                      <a:ext cx="2617928" cy="3162608"/>
                    </a:xfrm>
                    <a:prstGeom prst="rect">
                      <a:avLst/>
                    </a:prstGeom>
                  </pic:spPr>
                </pic:pic>
              </a:graphicData>
            </a:graphic>
          </wp:inline>
        </w:drawing>
      </w:r>
    </w:p>
    <w:p w:rsidR="003F0B4D" w:rsidRPr="003F0B4D" w:rsidP="003F0B4D">
      <w:pPr>
        <w:spacing w:after="0" w:line="480" w:lineRule="auto"/>
        <w:rPr>
          <w:rFonts w:ascii="Times New Roman" w:hAnsi="Times New Roman" w:cs="Times New Roman"/>
          <w:sz w:val="24"/>
          <w:szCs w:val="24"/>
        </w:rPr>
      </w:pPr>
      <w:r w:rsidRPr="003F0B4D">
        <w:rPr>
          <w:rFonts w:ascii="Times New Roman" w:hAnsi="Times New Roman" w:cs="Times New Roman"/>
          <w:sz w:val="24"/>
          <w:szCs w:val="24"/>
        </w:rPr>
        <w:drawing>
          <wp:inline distT="0" distB="0" distL="0" distR="0">
            <wp:extent cx="3216519" cy="2250831"/>
            <wp:effectExtent l="19050" t="0" r="2931" b="0"/>
            <wp:docPr id="7" name="Picture 4" descr="Suppor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70228" name="Supported.jpg"/>
                    <pic:cNvPicPr/>
                  </pic:nvPicPr>
                  <pic:blipFill>
                    <a:blip xmlns:r="http://schemas.openxmlformats.org/officeDocument/2006/relationships" r:embed="rId6" cstate="print"/>
                    <a:stretch>
                      <a:fillRect/>
                    </a:stretch>
                  </pic:blipFill>
                  <pic:spPr>
                    <a:xfrm>
                      <a:off x="0" y="0"/>
                      <a:ext cx="3218848" cy="2252461"/>
                    </a:xfrm>
                    <a:prstGeom prst="rect">
                      <a:avLst/>
                    </a:prstGeom>
                  </pic:spPr>
                </pic:pic>
              </a:graphicData>
            </a:graphic>
          </wp:inline>
        </w:drawing>
      </w:r>
    </w:p>
    <w:sectPr w:rsidSect="001E65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rsids>
    <w:rsidRoot w:val="00B73B2D"/>
    <w:rsid w:val="00185B2E"/>
    <w:rsid w:val="001E6508"/>
    <w:rsid w:val="003F0B4D"/>
    <w:rsid w:val="00436ED1"/>
    <w:rsid w:val="005C4CED"/>
    <w:rsid w:val="00B73B2D"/>
    <w:rsid w:val="00BC502F"/>
    <w:rsid w:val="00CE337F"/>
    <w:rsid w:val="00E147ED"/>
  </w:rsids>
  <w:docVars>
    <w:docVar w:name="__Grammarly_42___1" w:val="H4sIAAAAAAAEAKtWcslP9kxRslIyNDYyMTMwNrEwMjQ1MDUwMDRW0lEKTi0uzszPAykwrAUAqfOv9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08"/>
  </w:style>
  <w:style w:type="paragraph" w:styleId="Heading1">
    <w:name w:val="heading 1"/>
    <w:basedOn w:val="Normal"/>
    <w:next w:val="Normal"/>
    <w:link w:val="Heading1Char"/>
    <w:autoRedefine/>
    <w:uiPriority w:val="9"/>
    <w:qFormat/>
    <w:rsid w:val="00436ED1"/>
    <w:pPr>
      <w:keepNext/>
      <w:keepLines/>
      <w:spacing w:before="240" w:after="0" w:line="480" w:lineRule="auto"/>
      <w:outlineLvl w:val="0"/>
    </w:pPr>
    <w:rPr>
      <w:rFonts w:ascii="Times New Roman" w:hAnsi="Times New Roman" w:eastAsiaTheme="majorEastAsia"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ED1"/>
    <w:rPr>
      <w:rFonts w:ascii="Times New Roman" w:hAnsi="Times New Roman" w:eastAsiaTheme="majorEastAsia" w:cstheme="majorBidi"/>
      <w:b/>
      <w:bCs/>
      <w:sz w:val="24"/>
      <w:szCs w:val="28"/>
    </w:rPr>
  </w:style>
  <w:style w:type="paragraph" w:styleId="BalloonText">
    <w:name w:val="Balloon Text"/>
    <w:basedOn w:val="Normal"/>
    <w:link w:val="BalloonTextChar"/>
    <w:uiPriority w:val="99"/>
    <w:semiHidden/>
    <w:unhideWhenUsed/>
    <w:rsid w:val="003F0B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0B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2020-10-01T13:38:00Z</dcterms:created>
  <dcterms:modified xsi:type="dcterms:W3CDTF">2020-10-01T14:55:00Z</dcterms:modified>
</cp:coreProperties>
</file>