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098" w:rsidRPr="00573FDF" w:rsidRDefault="001C6098" w:rsidP="00573FDF">
      <w:pPr>
        <w:spacing w:line="480" w:lineRule="auto"/>
        <w:jc w:val="center"/>
        <w:rPr>
          <w:rFonts w:ascii="Times New Roman" w:hAnsi="Times New Roman" w:cs="Times New Roman"/>
          <w:sz w:val="24"/>
          <w:szCs w:val="24"/>
        </w:rPr>
      </w:pPr>
    </w:p>
    <w:p w:rsidR="001C6098" w:rsidRPr="00573FDF" w:rsidRDefault="001C6098" w:rsidP="00573FDF">
      <w:pPr>
        <w:spacing w:line="480" w:lineRule="auto"/>
        <w:jc w:val="center"/>
        <w:rPr>
          <w:rFonts w:ascii="Times New Roman" w:hAnsi="Times New Roman" w:cs="Times New Roman"/>
          <w:sz w:val="24"/>
          <w:szCs w:val="24"/>
        </w:rPr>
      </w:pPr>
    </w:p>
    <w:p w:rsidR="001C6098" w:rsidRPr="00573FDF" w:rsidRDefault="001C6098" w:rsidP="00573FDF">
      <w:pPr>
        <w:spacing w:line="480" w:lineRule="auto"/>
        <w:jc w:val="center"/>
        <w:rPr>
          <w:rFonts w:ascii="Times New Roman" w:hAnsi="Times New Roman" w:cs="Times New Roman"/>
          <w:sz w:val="24"/>
          <w:szCs w:val="24"/>
        </w:rPr>
      </w:pPr>
    </w:p>
    <w:p w:rsidR="001C6098" w:rsidRPr="00573FDF" w:rsidRDefault="001C6098" w:rsidP="00573FDF">
      <w:pPr>
        <w:spacing w:line="480" w:lineRule="auto"/>
        <w:jc w:val="center"/>
        <w:rPr>
          <w:rFonts w:ascii="Times New Roman" w:hAnsi="Times New Roman" w:cs="Times New Roman"/>
          <w:sz w:val="24"/>
          <w:szCs w:val="24"/>
        </w:rPr>
      </w:pPr>
    </w:p>
    <w:p w:rsidR="001C6098" w:rsidRPr="00573FDF" w:rsidRDefault="001C6098" w:rsidP="00573FDF">
      <w:pPr>
        <w:spacing w:line="480" w:lineRule="auto"/>
        <w:jc w:val="center"/>
        <w:rPr>
          <w:rFonts w:ascii="Times New Roman" w:hAnsi="Times New Roman" w:cs="Times New Roman"/>
          <w:sz w:val="24"/>
          <w:szCs w:val="24"/>
        </w:rPr>
      </w:pPr>
      <w:r w:rsidRPr="00573FDF">
        <w:rPr>
          <w:rFonts w:ascii="Times New Roman" w:hAnsi="Times New Roman" w:cs="Times New Roman"/>
          <w:sz w:val="24"/>
          <w:szCs w:val="24"/>
        </w:rPr>
        <w:t>Understanding criminal justices from different perspectives</w:t>
      </w:r>
    </w:p>
    <w:p w:rsidR="001C6098" w:rsidRPr="00573FDF" w:rsidRDefault="001C6098" w:rsidP="00573FDF">
      <w:pPr>
        <w:spacing w:line="480" w:lineRule="auto"/>
        <w:jc w:val="center"/>
        <w:rPr>
          <w:rFonts w:ascii="Times New Roman" w:hAnsi="Times New Roman" w:cs="Times New Roman"/>
          <w:sz w:val="24"/>
          <w:szCs w:val="24"/>
        </w:rPr>
      </w:pPr>
      <w:r w:rsidRPr="00573FDF">
        <w:rPr>
          <w:rFonts w:ascii="Times New Roman" w:hAnsi="Times New Roman" w:cs="Times New Roman"/>
          <w:sz w:val="24"/>
          <w:szCs w:val="24"/>
        </w:rPr>
        <w:t>Name</w:t>
      </w:r>
    </w:p>
    <w:p w:rsidR="001C6098" w:rsidRPr="00573FDF" w:rsidRDefault="001C6098" w:rsidP="00573FDF">
      <w:pPr>
        <w:spacing w:line="480" w:lineRule="auto"/>
        <w:jc w:val="center"/>
        <w:rPr>
          <w:rFonts w:ascii="Times New Roman" w:hAnsi="Times New Roman" w:cs="Times New Roman"/>
          <w:sz w:val="24"/>
          <w:szCs w:val="24"/>
        </w:rPr>
      </w:pPr>
      <w:r w:rsidRPr="00573FDF">
        <w:rPr>
          <w:rFonts w:ascii="Times New Roman" w:hAnsi="Times New Roman" w:cs="Times New Roman"/>
          <w:sz w:val="24"/>
          <w:szCs w:val="24"/>
        </w:rPr>
        <w:t>Instructor</w:t>
      </w:r>
    </w:p>
    <w:p w:rsidR="001C6098" w:rsidRPr="00573FDF" w:rsidRDefault="001C6098" w:rsidP="00573FDF">
      <w:pPr>
        <w:spacing w:line="480" w:lineRule="auto"/>
        <w:jc w:val="center"/>
        <w:rPr>
          <w:rFonts w:ascii="Times New Roman" w:hAnsi="Times New Roman" w:cs="Times New Roman"/>
          <w:sz w:val="24"/>
          <w:szCs w:val="24"/>
        </w:rPr>
      </w:pPr>
      <w:r w:rsidRPr="00573FDF">
        <w:rPr>
          <w:rFonts w:ascii="Times New Roman" w:hAnsi="Times New Roman" w:cs="Times New Roman"/>
          <w:sz w:val="24"/>
          <w:szCs w:val="24"/>
        </w:rPr>
        <w:t>Course</w:t>
      </w:r>
    </w:p>
    <w:p w:rsidR="001C6098" w:rsidRPr="00573FDF" w:rsidRDefault="001C6098" w:rsidP="00573FDF">
      <w:pPr>
        <w:spacing w:line="480" w:lineRule="auto"/>
        <w:jc w:val="center"/>
        <w:rPr>
          <w:rFonts w:ascii="Times New Roman" w:hAnsi="Times New Roman" w:cs="Times New Roman"/>
          <w:sz w:val="24"/>
          <w:szCs w:val="24"/>
        </w:rPr>
      </w:pPr>
      <w:r w:rsidRPr="00573FDF">
        <w:rPr>
          <w:rFonts w:ascii="Times New Roman" w:hAnsi="Times New Roman" w:cs="Times New Roman"/>
          <w:sz w:val="24"/>
          <w:szCs w:val="24"/>
        </w:rPr>
        <w:t>Date</w:t>
      </w:r>
    </w:p>
    <w:p w:rsidR="001C6098" w:rsidRPr="00573FDF" w:rsidRDefault="001C6098" w:rsidP="00573FDF">
      <w:pPr>
        <w:spacing w:line="480" w:lineRule="auto"/>
        <w:jc w:val="center"/>
        <w:rPr>
          <w:rFonts w:ascii="Times New Roman" w:hAnsi="Times New Roman" w:cs="Times New Roman"/>
          <w:b/>
          <w:sz w:val="24"/>
          <w:szCs w:val="24"/>
        </w:rPr>
      </w:pPr>
      <w:r w:rsidRPr="00573FDF">
        <w:rPr>
          <w:rFonts w:ascii="Times New Roman" w:hAnsi="Times New Roman" w:cs="Times New Roman"/>
          <w:b/>
          <w:sz w:val="24"/>
          <w:szCs w:val="24"/>
        </w:rPr>
        <w:br w:type="page"/>
      </w:r>
    </w:p>
    <w:p w:rsidR="00236A49" w:rsidRPr="00573FDF" w:rsidRDefault="00236A49" w:rsidP="00573FDF">
      <w:pPr>
        <w:spacing w:line="480" w:lineRule="auto"/>
        <w:jc w:val="center"/>
        <w:rPr>
          <w:rFonts w:ascii="Times New Roman" w:hAnsi="Times New Roman" w:cs="Times New Roman"/>
          <w:sz w:val="24"/>
          <w:szCs w:val="24"/>
        </w:rPr>
      </w:pPr>
      <w:r w:rsidRPr="00573FDF">
        <w:rPr>
          <w:rFonts w:ascii="Times New Roman" w:hAnsi="Times New Roman" w:cs="Times New Roman"/>
          <w:sz w:val="24"/>
          <w:szCs w:val="24"/>
        </w:rPr>
        <w:lastRenderedPageBreak/>
        <w:t>Abstract</w:t>
      </w:r>
    </w:p>
    <w:p w:rsidR="00236A49" w:rsidRPr="00573FDF" w:rsidRDefault="00236A49" w:rsidP="00573FDF">
      <w:pPr>
        <w:spacing w:line="480" w:lineRule="auto"/>
        <w:ind w:firstLine="720"/>
        <w:rPr>
          <w:rFonts w:ascii="Times New Roman" w:hAnsi="Times New Roman" w:cs="Times New Roman"/>
          <w:sz w:val="24"/>
          <w:szCs w:val="24"/>
        </w:rPr>
      </w:pPr>
      <w:bookmarkStart w:id="0" w:name="_GoBack"/>
      <w:bookmarkEnd w:id="0"/>
      <w:r w:rsidRPr="00573FDF">
        <w:rPr>
          <w:rFonts w:ascii="Times New Roman" w:hAnsi="Times New Roman" w:cs="Times New Roman"/>
          <w:sz w:val="24"/>
          <w:szCs w:val="24"/>
        </w:rPr>
        <w:t xml:space="preserve">Over the years their criminal justice environment has continued to change from racial discrimination to almost a fair hearing irrespective of the race. There have been significant factors that have resulted in the paradigm shift in the overall performance of the criminal justice system towards creating a more just environment. Most importantly, the issue of equality, family issues, environmental changes, government influences has significantly influenced the justice pursuit stems enhancing its effectiveness and efficiency. Numerous scholars have conducted through insight into various matters of concerns to bring into the lame light different components of criminal justice and how they have changed over time. A number of these scholarly articles are assessed keenly in this annotated bibliography about the said topic to enable the general public to identify the milestone that the criminal justice have achieved and the existing gaps that calls for all stakeholders to join hands towards revolutionizing the sector entirely. </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Greer, C., &amp; Reiner, R. (2015). Mediated Mayhem: Media, crime and criminal justice.</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Greer and Reiner (2015), performs deep research on the contribution of media in the crime and criminal justice representation. As the technology advances, the media sector is also changing influencing the overall criminal justice environment. They have established that new media, that is social media, TVs have played a pivotal role in improving the representation of crimes before courts creating a more just environment. More emphasis is made towards the achievement of to apply technology appropriately to simulate crime scenes, create more awareness as well as following up various issues of interest to the general public quickening the processes.</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lastRenderedPageBreak/>
        <w:t xml:space="preserve">These scholars established that the media had played a considerable role in the evolution of criminal justice. Through this article, it is evident that the media has helped the crime rate as most crime incidences can be mitigated before they occur. Also, media has helped create a more a fair criminal justice environment as it delivers substantive evidence to the court of law in pursuit of justice. Furthermore, the media have significantly impacted the overall criminal investigation process enhancing the reliability and quality of the evidence collected.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It is essential to understand the roles of media in criminal justice activities. It is an informative tool to the general public about various illegal activities, criminal justices and the ultimate processes involved in legal pursuit empowering the public to seek the truth. </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Vera, Y., &amp; Fabian, N. (2016). Crime prevention through environmental design.</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Vera and Fabian (2016), researches Chasquipampa a consistently growing and identify opportunities presented by the environment that can help reduce or prevent crimes. The two scholars establish that environmental design has the capability of creating a crimeless neighborhood while improving the lives of people.  They identify the critical issues in city designing that can help reduce as well as prevent crime incidences.              </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 xml:space="preserve">The project achieved significantly to inform the right authorities on the drastic reduction of crime rates if three significant areas were emphasized during urban development. Among the vital areas of concern are the market deigns, street organization and pedestrian path advancement creating a more large system for conducting business. Proper design attracts potential business investors as the neighborhood is enhanced that favors business growth.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Reducing the crime rate is a significant aspect of criminal justice. Development is enhanced, and also the human life is given more value creating a healthier environment for every </w:t>
      </w:r>
      <w:r w:rsidRPr="00573FDF">
        <w:rPr>
          <w:rFonts w:ascii="Times New Roman" w:hAnsi="Times New Roman" w:cs="Times New Roman"/>
          <w:sz w:val="24"/>
          <w:szCs w:val="24"/>
        </w:rPr>
        <w:lastRenderedPageBreak/>
        <w:t xml:space="preserve">individual to enjoy life. Therefore, the administration should consider all crime preventative measures when designing urban and rural development strategies. </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Katz, P. C. (2017). Supporting Families and Children of Mothers in Jail: An Integrated Child Welfare 1 and Criminal Justice Strategy. In Children with Parents in Prison (pp. 27-44). Routledge.</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Katz (2017), literature review critic the need to protect the legal rights of children and families in the pursuit of criminal justice. This is achieved through defined criminal justice strategies to offer support to parents and their kids. More emphasis is made towards creating a link between women in prison and their families in the context of children welfare. </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 xml:space="preserve">There is a growing need to protect children from suffering those results from their parent wrongdoing. Katz, therefore, brings s various onboard channels that can be used to safeguard the well-being of children in the event of criminal justice. Children welfare has the capacity within its operation to push for a more comprehensive criminal justice that addresses the needs of children and families hence creating a healthy society.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The unity between mother and their kids in jail is a crucial factor in preventing more criminal cases in future that might result to result from a split in the families.  Children warfare, therefore, has the responsibilities of ensuring children’s constitutional rights are not violated.</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Brayne, S. (2014). Surveillance and system avoidance: Criminal justice contact and institutional attachment. American Sociological Review, 79(3), 367-391.*</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Brayne (2014) during his research, the majors on the relationship between criminal justice surveillance, criminal justice avoidance and its overall effect on the social life of </w:t>
      </w:r>
      <w:r w:rsidRPr="00573FDF">
        <w:rPr>
          <w:rFonts w:ascii="Times New Roman" w:hAnsi="Times New Roman" w:cs="Times New Roman"/>
          <w:sz w:val="24"/>
          <w:szCs w:val="24"/>
        </w:rPr>
        <w:lastRenderedPageBreak/>
        <w:t xml:space="preserve">individuals. He employs statistical tools to gather and quantify his observation and facts about the issues in real life.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Brayne found out that she exists a direct relationship between individuals who have had issues with police and other law enforcement teams are less likely to interact with surveillance systems. Furthermore, individuals who have had illegal contact seclude themselves from civil and religious groups.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It is evident that criminal justice avoidance disintegrates society. For this reason, it is essential to come up with a mechanism to incorporate these individuals back to the community once they are done with the criminal justice process. This would unify the whole society reducing the crime rate. </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Messerschmidt, J. W., &amp; Tomsen, S. (2018). Masculinities and crime. In Routledge Handbook of Critical Criminology (pp. 83-95). Routledge.</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Messerschmidt and Tomsen have done an empirical study on the paradigm shift in masculinity in criminal justice. The two scholars have established that there is considerable change in the effect of masculinity on the administration of justice in courts. They also take into account the gender-centric analysis that influences the criminalization of persons.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There are critical factors underlined in the issue of masculinities.  Both genders have different rates of engaging in crime; men being in the front line hence easily criminalized. However, the criminal justice system and its shifting from a more perspective angle to a more specific or factual pursuit of legal justice in the event of a crime.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lastRenderedPageBreak/>
        <w:t xml:space="preserve">Although there have been perceptions that men have a higher crime rate than female resulting in biases during the legal pursuit, the system is changing creating a more fair and just environment. This is a significant milestone that the criminal justice system has achieved. </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Berk, R., Heidari, H., Jabbari, S., Kearns, M., &amp; Roth, A. (2017). Fairness in criminal justice risk assessments: state of the art. arXiv preprint arXiv:1703.09207.</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t xml:space="preserve">Berk et al. (2017) conducted quantitative research to identify fairness as well as distinguishing factors between truth and accuracy during the assessment of criminal justice.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 xml:space="preserve">The scholars managed to raise some concerns about fairness in the criminal justice environment. They have noted a change in the process of justice administration where thorough investigations are conducted to obtain more useful evidence to support the judgment. They have made it clear administering all forms of fairness is relatively hard and that it varies from group to group. These findings are settled upon a detailed study on existing literature in different fields such as criminology, and computer science. </w:t>
      </w:r>
    </w:p>
    <w:p w:rsidR="00236A49" w:rsidRPr="00573FDF" w:rsidRDefault="00236A49" w:rsidP="00573FDF">
      <w:pPr>
        <w:spacing w:line="480" w:lineRule="auto"/>
        <w:ind w:firstLine="720"/>
        <w:rPr>
          <w:rFonts w:ascii="Times New Roman" w:hAnsi="Times New Roman" w:cs="Times New Roman"/>
          <w:sz w:val="24"/>
          <w:szCs w:val="24"/>
        </w:rPr>
      </w:pPr>
      <w:r w:rsidRPr="00573FDF">
        <w:rPr>
          <w:rFonts w:ascii="Times New Roman" w:hAnsi="Times New Roman" w:cs="Times New Roman"/>
          <w:sz w:val="24"/>
          <w:szCs w:val="24"/>
        </w:rPr>
        <w:t>Criminal justice aims at delivering a fair and just ruling. Therefore, it is essential to understand the forms of fairness and their applicability in criminal justice. This article is therefore crucial as it enhances understanding of the concept.</w:t>
      </w:r>
    </w:p>
    <w:p w:rsidR="00236A49" w:rsidRPr="00573FDF" w:rsidRDefault="00236A49" w:rsidP="00573FDF">
      <w:pPr>
        <w:spacing w:line="480" w:lineRule="auto"/>
        <w:rPr>
          <w:rFonts w:ascii="Times New Roman" w:hAnsi="Times New Roman" w:cs="Times New Roman"/>
          <w:sz w:val="24"/>
          <w:szCs w:val="24"/>
        </w:rPr>
      </w:pPr>
      <w:r w:rsidRPr="00573FDF">
        <w:rPr>
          <w:rFonts w:ascii="Times New Roman" w:hAnsi="Times New Roman" w:cs="Times New Roman"/>
          <w:sz w:val="24"/>
          <w:szCs w:val="24"/>
        </w:rPr>
        <w:br w:type="page"/>
      </w:r>
    </w:p>
    <w:p w:rsidR="005F4A27" w:rsidRPr="00573FDF" w:rsidRDefault="00236A49" w:rsidP="00573FDF">
      <w:pPr>
        <w:spacing w:line="480" w:lineRule="auto"/>
        <w:jc w:val="center"/>
        <w:rPr>
          <w:rFonts w:ascii="Times New Roman" w:hAnsi="Times New Roman" w:cs="Times New Roman"/>
          <w:sz w:val="24"/>
          <w:szCs w:val="24"/>
        </w:rPr>
      </w:pPr>
      <w:r w:rsidRPr="00573FDF">
        <w:rPr>
          <w:rFonts w:ascii="Times New Roman" w:hAnsi="Times New Roman" w:cs="Times New Roman"/>
          <w:sz w:val="24"/>
          <w:szCs w:val="24"/>
        </w:rPr>
        <w:lastRenderedPageBreak/>
        <w:t>References</w:t>
      </w:r>
    </w:p>
    <w:p w:rsidR="00236A49" w:rsidRPr="00573FDF" w:rsidRDefault="00236A49" w:rsidP="00573FDF">
      <w:pPr>
        <w:spacing w:line="480" w:lineRule="auto"/>
        <w:ind w:left="720" w:hanging="720"/>
        <w:rPr>
          <w:rFonts w:ascii="Times New Roman" w:hAnsi="Times New Roman" w:cs="Times New Roman"/>
          <w:sz w:val="24"/>
          <w:szCs w:val="24"/>
        </w:rPr>
      </w:pPr>
      <w:r w:rsidRPr="00573FDF">
        <w:rPr>
          <w:rFonts w:ascii="Times New Roman" w:hAnsi="Times New Roman" w:cs="Times New Roman"/>
          <w:sz w:val="24"/>
          <w:szCs w:val="24"/>
        </w:rPr>
        <w:t>Greer, C., &amp; Reiner, R. (2015). Mediated Mayhem: Media, crime and criminal justice.</w:t>
      </w:r>
    </w:p>
    <w:p w:rsidR="00236A49" w:rsidRPr="00573FDF" w:rsidRDefault="00236A49" w:rsidP="00573FDF">
      <w:pPr>
        <w:spacing w:line="480" w:lineRule="auto"/>
        <w:ind w:left="720" w:hanging="720"/>
        <w:rPr>
          <w:rFonts w:ascii="Times New Roman" w:hAnsi="Times New Roman" w:cs="Times New Roman"/>
          <w:sz w:val="24"/>
          <w:szCs w:val="24"/>
        </w:rPr>
      </w:pPr>
      <w:r w:rsidRPr="00573FDF">
        <w:rPr>
          <w:rFonts w:ascii="Times New Roman" w:hAnsi="Times New Roman" w:cs="Times New Roman"/>
          <w:sz w:val="24"/>
          <w:szCs w:val="24"/>
        </w:rPr>
        <w:t>Vera, Y., &amp; Fabian, N. (2016). Crime prevention through environmental design.</w:t>
      </w:r>
    </w:p>
    <w:p w:rsidR="00236A49" w:rsidRPr="00573FDF" w:rsidRDefault="00236A49" w:rsidP="00573FDF">
      <w:pPr>
        <w:spacing w:line="480" w:lineRule="auto"/>
        <w:ind w:left="720" w:hanging="720"/>
        <w:rPr>
          <w:rFonts w:ascii="Times New Roman" w:hAnsi="Times New Roman" w:cs="Times New Roman"/>
          <w:sz w:val="24"/>
          <w:szCs w:val="24"/>
        </w:rPr>
      </w:pPr>
      <w:r w:rsidRPr="00573FDF">
        <w:rPr>
          <w:rFonts w:ascii="Times New Roman" w:hAnsi="Times New Roman" w:cs="Times New Roman"/>
          <w:sz w:val="24"/>
          <w:szCs w:val="24"/>
        </w:rPr>
        <w:t>Katz, P. C. (2017). Supporting Families and Children of Mothers in Jail: An Integrated Child Welfare 1 and Criminal Justice Strategy. In Children with Parents in Prison (pp. 27-44). Routledge.</w:t>
      </w:r>
    </w:p>
    <w:p w:rsidR="00236A49" w:rsidRPr="00573FDF" w:rsidRDefault="00236A49" w:rsidP="00573FDF">
      <w:pPr>
        <w:spacing w:line="480" w:lineRule="auto"/>
        <w:ind w:left="720" w:hanging="720"/>
        <w:rPr>
          <w:rFonts w:ascii="Times New Roman" w:hAnsi="Times New Roman" w:cs="Times New Roman"/>
          <w:sz w:val="24"/>
          <w:szCs w:val="24"/>
        </w:rPr>
      </w:pPr>
      <w:r w:rsidRPr="00573FDF">
        <w:rPr>
          <w:rFonts w:ascii="Times New Roman" w:hAnsi="Times New Roman" w:cs="Times New Roman"/>
          <w:sz w:val="24"/>
          <w:szCs w:val="24"/>
        </w:rPr>
        <w:t>Berk, R., Heidari, H., Jabbari, S., Kearns, M., &amp; Roth, A. (2017). Fairness in criminal justice risk assessments: state of the art. arXiv preprint arXiv:1703.09207.</w:t>
      </w:r>
    </w:p>
    <w:p w:rsidR="00AF6AE1" w:rsidRPr="00573FDF" w:rsidRDefault="00AF6AE1" w:rsidP="00573FDF">
      <w:pPr>
        <w:spacing w:line="480" w:lineRule="auto"/>
        <w:ind w:left="720" w:hanging="720"/>
        <w:rPr>
          <w:rFonts w:ascii="Times New Roman" w:hAnsi="Times New Roman" w:cs="Times New Roman"/>
          <w:sz w:val="24"/>
          <w:szCs w:val="24"/>
        </w:rPr>
      </w:pPr>
      <w:r w:rsidRPr="00573FDF">
        <w:rPr>
          <w:rFonts w:ascii="Times New Roman" w:hAnsi="Times New Roman" w:cs="Times New Roman"/>
          <w:sz w:val="24"/>
          <w:szCs w:val="24"/>
        </w:rPr>
        <w:t>Messerschmidt, J. W., &amp; Tomsen, S. (2018). Masculinities and crime. In Routledge Handbook of Critical Criminology (pp. 83-95). Routledge.</w:t>
      </w:r>
    </w:p>
    <w:p w:rsidR="00AF6AE1" w:rsidRPr="00573FDF" w:rsidRDefault="00AF6AE1" w:rsidP="00573FDF">
      <w:pPr>
        <w:spacing w:line="480" w:lineRule="auto"/>
        <w:ind w:left="720" w:hanging="720"/>
        <w:rPr>
          <w:rFonts w:ascii="Times New Roman" w:hAnsi="Times New Roman" w:cs="Times New Roman"/>
          <w:sz w:val="24"/>
          <w:szCs w:val="24"/>
        </w:rPr>
      </w:pPr>
      <w:r w:rsidRPr="00573FDF">
        <w:rPr>
          <w:rFonts w:ascii="Times New Roman" w:hAnsi="Times New Roman" w:cs="Times New Roman"/>
          <w:sz w:val="24"/>
          <w:szCs w:val="24"/>
        </w:rPr>
        <w:t>Brayne, S. (2014). Surveillance and system avoidance: Criminal justice contact and institutional attachment. American Sociological Review, 79(3), 367-391.*</w:t>
      </w:r>
    </w:p>
    <w:p w:rsidR="00236A49" w:rsidRPr="00573FDF" w:rsidRDefault="00236A49" w:rsidP="00573FDF">
      <w:pPr>
        <w:spacing w:line="480" w:lineRule="auto"/>
        <w:rPr>
          <w:rFonts w:ascii="Times New Roman" w:hAnsi="Times New Roman" w:cs="Times New Roman"/>
          <w:sz w:val="24"/>
          <w:szCs w:val="24"/>
        </w:rPr>
      </w:pPr>
    </w:p>
    <w:p w:rsidR="00236A49" w:rsidRPr="00573FDF" w:rsidRDefault="00236A49" w:rsidP="00573FDF">
      <w:pPr>
        <w:spacing w:line="480" w:lineRule="auto"/>
        <w:rPr>
          <w:rFonts w:ascii="Times New Roman" w:hAnsi="Times New Roman" w:cs="Times New Roman"/>
          <w:sz w:val="24"/>
          <w:szCs w:val="24"/>
        </w:rPr>
      </w:pPr>
    </w:p>
    <w:sectPr w:rsidR="00236A49" w:rsidRPr="00573FDF" w:rsidSect="00573F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D1D" w:rsidRDefault="005D2D1D" w:rsidP="001C6098">
      <w:pPr>
        <w:spacing w:after="0" w:line="240" w:lineRule="auto"/>
      </w:pPr>
      <w:r>
        <w:separator/>
      </w:r>
    </w:p>
  </w:endnote>
  <w:endnote w:type="continuationSeparator" w:id="1">
    <w:p w:rsidR="005D2D1D" w:rsidRDefault="005D2D1D" w:rsidP="001C60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D1D" w:rsidRDefault="005D2D1D" w:rsidP="001C6098">
      <w:pPr>
        <w:spacing w:after="0" w:line="240" w:lineRule="auto"/>
      </w:pPr>
      <w:r>
        <w:separator/>
      </w:r>
    </w:p>
  </w:footnote>
  <w:footnote w:type="continuationSeparator" w:id="1">
    <w:p w:rsidR="005D2D1D" w:rsidRDefault="005D2D1D" w:rsidP="001C60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345856"/>
      <w:docPartObj>
        <w:docPartGallery w:val="Page Numbers (Top of Page)"/>
        <w:docPartUnique/>
      </w:docPartObj>
    </w:sdtPr>
    <w:sdtContent>
      <w:p w:rsidR="001C6098" w:rsidRPr="00573FDF" w:rsidRDefault="00573FDF" w:rsidP="00573FDF">
        <w:pPr>
          <w:pStyle w:val="Header"/>
          <w:rPr>
            <w:rFonts w:ascii="Times New Roman" w:hAnsi="Times New Roman" w:cs="Times New Roman"/>
            <w:sz w:val="24"/>
            <w:szCs w:val="24"/>
          </w:rPr>
        </w:pPr>
        <w:r w:rsidRPr="00573FDF">
          <w:rPr>
            <w:rFonts w:ascii="Times New Roman" w:hAnsi="Times New Roman" w:cs="Times New Roman"/>
            <w:sz w:val="24"/>
            <w:szCs w:val="24"/>
          </w:rPr>
          <w:t>PEER-REVIWED AND SCHOLARLY SOURCES</w:t>
        </w:r>
        <w:r w:rsidRPr="00573FDF">
          <w:rPr>
            <w:rFonts w:ascii="Times New Roman" w:hAnsi="Times New Roman" w:cs="Times New Roman"/>
            <w:sz w:val="24"/>
            <w:szCs w:val="24"/>
          </w:rPr>
          <w:tab/>
        </w:r>
        <w:r w:rsidRPr="00573FDF">
          <w:rPr>
            <w:rFonts w:ascii="Times New Roman" w:hAnsi="Times New Roman" w:cs="Times New Roman"/>
            <w:sz w:val="24"/>
            <w:szCs w:val="24"/>
          </w:rPr>
          <w:fldChar w:fldCharType="begin"/>
        </w:r>
        <w:r w:rsidRPr="00573FDF">
          <w:rPr>
            <w:rFonts w:ascii="Times New Roman" w:hAnsi="Times New Roman" w:cs="Times New Roman"/>
            <w:sz w:val="24"/>
            <w:szCs w:val="24"/>
          </w:rPr>
          <w:instrText xml:space="preserve"> PAGE   \* MERGEFORMAT </w:instrText>
        </w:r>
        <w:r w:rsidRPr="00573FDF">
          <w:rPr>
            <w:rFonts w:ascii="Times New Roman" w:hAnsi="Times New Roman" w:cs="Times New Roman"/>
            <w:sz w:val="24"/>
            <w:szCs w:val="24"/>
          </w:rPr>
          <w:fldChar w:fldCharType="separate"/>
        </w:r>
        <w:r>
          <w:rPr>
            <w:rFonts w:ascii="Times New Roman" w:hAnsi="Times New Roman" w:cs="Times New Roman"/>
            <w:noProof/>
            <w:sz w:val="24"/>
            <w:szCs w:val="24"/>
          </w:rPr>
          <w:t>2</w:t>
        </w:r>
        <w:r w:rsidRPr="00573FD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098" w:rsidRPr="00573FDF" w:rsidRDefault="00573FDF" w:rsidP="00573FDF">
    <w:pPr>
      <w:pStyle w:val="Header"/>
      <w:jc w:val="center"/>
      <w:rPr>
        <w:rFonts w:ascii="Times New Roman" w:hAnsi="Times New Roman" w:cs="Times New Roman"/>
        <w:sz w:val="24"/>
        <w:szCs w:val="24"/>
      </w:rPr>
    </w:pPr>
    <w:r w:rsidRPr="00573FDF">
      <w:rPr>
        <w:rFonts w:ascii="Times New Roman" w:hAnsi="Times New Roman" w:cs="Times New Roman"/>
        <w:sz w:val="24"/>
        <w:szCs w:val="24"/>
      </w:rPr>
      <w:t xml:space="preserve">Running head: PEER-REVIWED AND SCHOLARLY SOURCES </w:t>
    </w:r>
    <w:r w:rsidRPr="00573FDF">
      <w:rPr>
        <w:rFonts w:ascii="Times New Roman" w:hAnsi="Times New Roman" w:cs="Times New Roman"/>
        <w:sz w:val="24"/>
        <w:szCs w:val="24"/>
      </w:rPr>
      <w:tab/>
    </w:r>
    <w:sdt>
      <w:sdtPr>
        <w:rPr>
          <w:rFonts w:ascii="Times New Roman" w:hAnsi="Times New Roman" w:cs="Times New Roman"/>
          <w:sz w:val="24"/>
          <w:szCs w:val="24"/>
        </w:rPr>
        <w:id w:val="72345834"/>
        <w:docPartObj>
          <w:docPartGallery w:val="Page Numbers (Top of Page)"/>
          <w:docPartUnique/>
        </w:docPartObj>
      </w:sdtPr>
      <w:sdtContent>
        <w:r w:rsidRPr="00573FDF">
          <w:rPr>
            <w:rFonts w:ascii="Times New Roman" w:hAnsi="Times New Roman" w:cs="Times New Roman"/>
            <w:sz w:val="24"/>
            <w:szCs w:val="24"/>
          </w:rPr>
          <w:fldChar w:fldCharType="begin"/>
        </w:r>
        <w:r w:rsidRPr="00573FDF">
          <w:rPr>
            <w:rFonts w:ascii="Times New Roman" w:hAnsi="Times New Roman" w:cs="Times New Roman"/>
            <w:sz w:val="24"/>
            <w:szCs w:val="24"/>
          </w:rPr>
          <w:instrText xml:space="preserve"> PAGE   \* MERGEFORMAT </w:instrText>
        </w:r>
        <w:r w:rsidRPr="00573FDF">
          <w:rPr>
            <w:rFonts w:ascii="Times New Roman" w:hAnsi="Times New Roman" w:cs="Times New Roman"/>
            <w:sz w:val="24"/>
            <w:szCs w:val="24"/>
          </w:rPr>
          <w:fldChar w:fldCharType="separate"/>
        </w:r>
        <w:r>
          <w:rPr>
            <w:rFonts w:ascii="Times New Roman" w:hAnsi="Times New Roman" w:cs="Times New Roman"/>
            <w:noProof/>
            <w:sz w:val="24"/>
            <w:szCs w:val="24"/>
          </w:rPr>
          <w:t>1</w:t>
        </w:r>
        <w:r w:rsidRPr="00573FD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36A49"/>
    <w:rsid w:val="000F151A"/>
    <w:rsid w:val="001C6098"/>
    <w:rsid w:val="00236A49"/>
    <w:rsid w:val="00573FDF"/>
    <w:rsid w:val="005D2D1D"/>
    <w:rsid w:val="005F4A27"/>
    <w:rsid w:val="00A57B28"/>
    <w:rsid w:val="00AF6AE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B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098"/>
  </w:style>
  <w:style w:type="paragraph" w:styleId="Footer">
    <w:name w:val="footer"/>
    <w:basedOn w:val="Normal"/>
    <w:link w:val="FooterChar"/>
    <w:uiPriority w:val="99"/>
    <w:unhideWhenUsed/>
    <w:rsid w:val="001C6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0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098"/>
  </w:style>
  <w:style w:type="paragraph" w:styleId="Footer">
    <w:name w:val="footer"/>
    <w:basedOn w:val="Normal"/>
    <w:link w:val="FooterChar"/>
    <w:uiPriority w:val="99"/>
    <w:unhideWhenUsed/>
    <w:rsid w:val="001C6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0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1405</Words>
  <Characters>8010</Characters>
  <Application>Microsoft Office Word</Application>
  <DocSecurity>0</DocSecurity>
  <Lines>66</Lines>
  <Paragraphs>18</Paragraphs>
  <ScaleCrop>false</ScaleCrop>
  <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ORIGINAL</dc:creator>
  <cp:lastModifiedBy>Kelvin Jackson</cp:lastModifiedBy>
  <cp:revision>2</cp:revision>
  <dcterms:created xsi:type="dcterms:W3CDTF">2018-10-31T08:06:00Z</dcterms:created>
  <dcterms:modified xsi:type="dcterms:W3CDTF">2018-10-31T08:06:00Z</dcterms:modified>
</cp:coreProperties>
</file>