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p>
    <w:p w:rsidR="003328F2" w:rsidRDefault="0072373B" w:rsidP="0072373B">
      <w:pPr>
        <w:jc w:val="center"/>
      </w:pPr>
      <w:bookmarkStart w:id="0" w:name="_GoBack"/>
      <w:r>
        <w:t>Self-Defense</w:t>
      </w:r>
    </w:p>
    <w:bookmarkEnd w:id="0"/>
    <w:p w:rsidR="0072373B" w:rsidRDefault="0072373B" w:rsidP="0072373B">
      <w:pPr>
        <w:jc w:val="center"/>
      </w:pPr>
      <w:r>
        <w:t>Student’s Name</w:t>
      </w:r>
    </w:p>
    <w:p w:rsidR="0072373B" w:rsidRDefault="0072373B" w:rsidP="0072373B">
      <w:pPr>
        <w:jc w:val="center"/>
      </w:pPr>
      <w:r>
        <w:t>Institution</w:t>
      </w:r>
    </w:p>
    <w:p w:rsidR="0072373B" w:rsidRDefault="0072373B">
      <w:pPr>
        <w:spacing w:line="276" w:lineRule="auto"/>
      </w:pPr>
      <w:r>
        <w:br w:type="page"/>
      </w:r>
    </w:p>
    <w:p w:rsidR="0072373B" w:rsidRDefault="0072373B" w:rsidP="00396A05">
      <w:pPr>
        <w:jc w:val="center"/>
      </w:pPr>
      <w:r>
        <w:lastRenderedPageBreak/>
        <w:t>Self-Defense</w:t>
      </w:r>
    </w:p>
    <w:p w:rsidR="0072373B" w:rsidRDefault="0072373B" w:rsidP="0072373B">
      <w:pPr>
        <w:ind w:firstLine="720"/>
      </w:pPr>
      <w:r>
        <w:t>Self-defense refers to a countermeasure undertaken by a person to defend oneself from being harmed by an attacker</w:t>
      </w:r>
      <w:r w:rsidRPr="00C013E7">
        <w:rPr>
          <w:rFonts w:eastAsia="Times New Roman" w:cs="Times New Roman"/>
          <w:szCs w:val="24"/>
        </w:rPr>
        <w:t xml:space="preserve"> </w:t>
      </w:r>
      <w:r>
        <w:rPr>
          <w:rFonts w:eastAsia="Times New Roman" w:cs="Times New Roman"/>
          <w:szCs w:val="24"/>
        </w:rPr>
        <w:t>(Torres, 2020)</w:t>
      </w:r>
      <w:r>
        <w:t>. Typically, it is utilized with the primary aim of ensuring that a person protects himself or herself from harm imposed on him or her by another person. Exercising the right of self-defense is considered a legal justification for the utilization of force during periods of danger. Hence it is usually offered in several jurisdictions. Self-defense is not predetermined and occurs at the onset of an attack. However, there is a need to be more cautious and anticipatory of aggression from others in different settings such as in walkways, institutions, and marketplaces, to name a few.</w:t>
      </w:r>
    </w:p>
    <w:p w:rsidR="00AC55C9" w:rsidRPr="009F1B29" w:rsidRDefault="00AC55C9" w:rsidP="00AC55C9">
      <w:pPr>
        <w:spacing w:after="0"/>
        <w:ind w:firstLine="720"/>
        <w:rPr>
          <w:rFonts w:eastAsia="Times New Roman" w:cs="Times New Roman"/>
          <w:color w:val="0E101A"/>
          <w:szCs w:val="24"/>
        </w:rPr>
      </w:pPr>
      <w:r w:rsidRPr="009F1B29">
        <w:rPr>
          <w:rFonts w:eastAsia="Times New Roman" w:cs="Times New Roman"/>
          <w:color w:val="0E101A"/>
          <w:szCs w:val="24"/>
        </w:rPr>
        <w:t xml:space="preserve">Physical self-defense is exercised through the utilization of physical </w:t>
      </w:r>
      <w:r w:rsidR="00EE12D6">
        <w:rPr>
          <w:rFonts w:eastAsia="Times New Roman" w:cs="Times New Roman"/>
          <w:color w:val="0E101A"/>
          <w:szCs w:val="24"/>
        </w:rPr>
        <w:t>force to counteract a direct</w:t>
      </w:r>
      <w:r w:rsidRPr="009F1B29">
        <w:rPr>
          <w:rFonts w:eastAsia="Times New Roman" w:cs="Times New Roman"/>
          <w:color w:val="0E101A"/>
          <w:szCs w:val="24"/>
        </w:rPr>
        <w:t xml:space="preserve"> threat towards oneself. The physical force can be categorized as either armed or unarmed. The chances of success, in either case, is dependent on different parameters linked to the rigorousness of the threat of violence, the defender’s mental as well as physical preparedness.</w:t>
      </w:r>
    </w:p>
    <w:p w:rsidR="00AC55C9" w:rsidRPr="009F1B29" w:rsidRDefault="00AC55C9" w:rsidP="00AC55C9">
      <w:pPr>
        <w:pStyle w:val="ListParagraph"/>
        <w:numPr>
          <w:ilvl w:val="0"/>
          <w:numId w:val="1"/>
        </w:numPr>
        <w:spacing w:after="0"/>
        <w:rPr>
          <w:rFonts w:eastAsia="Times New Roman" w:cs="Times New Roman"/>
          <w:color w:val="0E101A"/>
          <w:szCs w:val="24"/>
        </w:rPr>
      </w:pPr>
      <w:r w:rsidRPr="009F1B29">
        <w:rPr>
          <w:rFonts w:eastAsia="Times New Roman" w:cs="Times New Roman"/>
          <w:color w:val="0E101A"/>
          <w:szCs w:val="24"/>
        </w:rPr>
        <w:t>Unarmed</w:t>
      </w:r>
    </w:p>
    <w:p w:rsidR="00AC55C9" w:rsidRPr="009F1B29" w:rsidRDefault="00AC55C9" w:rsidP="00AC55C9">
      <w:pPr>
        <w:spacing w:after="0"/>
        <w:ind w:firstLine="720"/>
        <w:rPr>
          <w:rFonts w:eastAsia="Times New Roman" w:cs="Times New Roman"/>
          <w:color w:val="0E101A"/>
          <w:szCs w:val="24"/>
        </w:rPr>
      </w:pPr>
      <w:r w:rsidRPr="009F1B29">
        <w:rPr>
          <w:rFonts w:eastAsia="Times New Roman" w:cs="Times New Roman"/>
          <w:color w:val="0E101A"/>
          <w:szCs w:val="24"/>
        </w:rPr>
        <w:t>Several styles of martial arts encompass techniques of self-defense while some styles are performed for self-defense. Thus martial arts techniques are instrumental for self-defense as they help an individual become knowledgeable of combat techniques to defend oneself when under an attack. Moreover, there are some martial arts educates on how to deploy ways escaping situations of gun or knife, dodge punches. On the other hand, some martial arts styles train on how to launch an attack. Contemporarily, several martial arts schools employ a blend of martial arts styles as well as techniques and frequently tailor self-defense to fit their participants.</w:t>
      </w:r>
    </w:p>
    <w:p w:rsidR="00AC55C9" w:rsidRPr="009F1B29" w:rsidRDefault="00AC55C9" w:rsidP="00AC55C9">
      <w:pPr>
        <w:pStyle w:val="ListParagraph"/>
        <w:numPr>
          <w:ilvl w:val="0"/>
          <w:numId w:val="1"/>
        </w:numPr>
        <w:spacing w:after="0"/>
        <w:rPr>
          <w:rFonts w:eastAsia="Times New Roman" w:cs="Times New Roman"/>
          <w:color w:val="0E101A"/>
          <w:szCs w:val="24"/>
        </w:rPr>
      </w:pPr>
      <w:r w:rsidRPr="009F1B29">
        <w:rPr>
          <w:rFonts w:eastAsia="Times New Roman" w:cs="Times New Roman"/>
          <w:color w:val="0E101A"/>
          <w:szCs w:val="24"/>
        </w:rPr>
        <w:t>Armed</w:t>
      </w:r>
    </w:p>
    <w:p w:rsidR="00AC55C9" w:rsidRPr="009F1B29" w:rsidRDefault="00AC55C9" w:rsidP="00AC55C9">
      <w:pPr>
        <w:spacing w:after="0"/>
        <w:ind w:firstLine="720"/>
        <w:rPr>
          <w:rFonts w:eastAsia="Times New Roman" w:cs="Times New Roman"/>
          <w:color w:val="0E101A"/>
          <w:szCs w:val="24"/>
        </w:rPr>
      </w:pPr>
      <w:r w:rsidRPr="009F1B29">
        <w:rPr>
          <w:rFonts w:eastAsia="Times New Roman" w:cs="Times New Roman"/>
          <w:color w:val="0E101A"/>
          <w:szCs w:val="24"/>
        </w:rPr>
        <w:lastRenderedPageBreak/>
        <w:t>Victims of a threat to violence usually use an array of weapons to defend themselves when attacked. Some of the weapons include firearms, knives, and blunt objects such as clubs. The severity of the threat presented depicts the most suitable weapon used by victims of attacks. However, there are legal restrictions that have been imposed in different jurisdictions to influence options of self-defense. Some jurisdictions permit carrying firearms openly or explicitly hidden for self-defense.</w:t>
      </w:r>
    </w:p>
    <w:p w:rsidR="00AC55C9" w:rsidRPr="00AC55C9" w:rsidRDefault="00AC55C9" w:rsidP="00AC55C9">
      <w:pPr>
        <w:spacing w:after="0"/>
        <w:ind w:firstLine="720"/>
        <w:rPr>
          <w:rFonts w:eastAsia="Times New Roman" w:cs="Times New Roman"/>
          <w:color w:val="0E101A"/>
          <w:szCs w:val="24"/>
        </w:rPr>
      </w:pPr>
      <w:r w:rsidRPr="009F1B29">
        <w:rPr>
          <w:rFonts w:eastAsia="Times New Roman" w:cs="Times New Roman"/>
          <w:color w:val="0E101A"/>
          <w:szCs w:val="24"/>
        </w:rPr>
        <w:t>Conversely, several jurisdictions are endowed with tight restrictions concerning the ownership of firearms and the types that can be owned by individuals. Batons, switchblades, pepper sprays, as well as personal stun guns, may be controlled. Most places have permitted the carrying of non-injurious water-based self-defense indelible dye-marker sprays and DNA-marker sprays as they help link a suspect to a crime. Other improvised weapons for self-defense include baseball bats, flashlights, kitchen utensils as well as aerosol cans, to name a few.</w:t>
      </w:r>
    </w:p>
    <w:p w:rsidR="0072373B" w:rsidRDefault="0072373B" w:rsidP="0072373B">
      <w:r>
        <w:t xml:space="preserve">           If, in any case, I become a victim of an attack or robbery, I would first consider the way the attacker will handle me. Some robbers use brutal force to attack their targets to overpower them. Such a robber may possess weapons like a gun, a club, or a knife which he would wield to frighten you. Some may inflict injuries on their victims by hitting them using blunt objects or stabbing them. I will not condone such acts being done to me by an attacker. I have an adept background in self-defense education on how to defend myself when I am attacked. Therefore, I am vastly skilled in martial arts, which keeps me knowledgeable and apt to react to an attack. When attacked by a robber pointing a gun or a knife towards</w:t>
      </w:r>
      <w:r w:rsidR="00BF64DD">
        <w:t xml:space="preserve"> me</w:t>
      </w:r>
      <w:r>
        <w:t>, I will employ my Ju-Jitsu skill to defend myself by attacking the robber and ensuring that I repossess the weapon</w:t>
      </w:r>
      <w:r w:rsidRPr="00C013E7">
        <w:rPr>
          <w:rFonts w:eastAsia="Times New Roman" w:cs="Times New Roman"/>
          <w:szCs w:val="24"/>
        </w:rPr>
        <w:t xml:space="preserve"> </w:t>
      </w:r>
      <w:r>
        <w:rPr>
          <w:rFonts w:eastAsia="Times New Roman" w:cs="Times New Roman"/>
          <w:szCs w:val="24"/>
        </w:rPr>
        <w:t>(Blank, 2020)</w:t>
      </w:r>
      <w:r>
        <w:t xml:space="preserve">. Also, being that I have good punching skills, I can strike him in the face to knock him out. My </w:t>
      </w:r>
      <w:r>
        <w:lastRenderedPageBreak/>
        <w:t xml:space="preserve">sole concern about utilizing my martial art skills is to defend myself from an attack by a person whose interest was to rob me of my property.   </w:t>
      </w:r>
    </w:p>
    <w:p w:rsidR="0072373B" w:rsidRDefault="0072373B" w:rsidP="0072373B">
      <w:pPr>
        <w:ind w:firstLine="720"/>
      </w:pPr>
      <w:r>
        <w:t>Contemporarily, many jurisdictions allow people to use the right to self-defense to defend themselves by killing their attackers. The bible detests killing others by noting, “Thou shall not kill.” However, when facing a kill-or-be-killed circumstance, citizens regarded to be law-abiding have no chance to weigh or acknowledge every consequence of their exploits</w:t>
      </w:r>
      <w:r w:rsidRPr="00C013E7">
        <w:rPr>
          <w:rFonts w:eastAsia="Times New Roman" w:cs="Times New Roman"/>
          <w:szCs w:val="24"/>
        </w:rPr>
        <w:t xml:space="preserve"> </w:t>
      </w:r>
      <w:r>
        <w:rPr>
          <w:rFonts w:eastAsia="Times New Roman" w:cs="Times New Roman"/>
          <w:szCs w:val="24"/>
        </w:rPr>
        <w:t>(Chen et al., 2020)</w:t>
      </w:r>
      <w:r>
        <w:t>. Hence people opt to kill their attackers to defend themselves from being harmed. A society that justifies the killing of an attacker in self-defense has profound ramifications. Foremost, those who have killed others suffer from aftershocks such as conflicting emotions – delighted to survive as well as the guilt of killing an individual. When this state of mind is left unresolved, the person might become anxious and depressed. Secondly, people in such a society can suffer from post-traumatic syndrome, which may affect their state of well-being.</w:t>
      </w:r>
    </w:p>
    <w:p w:rsidR="0072373B" w:rsidRDefault="0072373B" w:rsidP="0072373B">
      <w:pPr>
        <w:ind w:firstLine="720"/>
      </w:pPr>
      <w:r>
        <w:t>Thirdly, people involved in the killing of another person when defending themselves usually feel isolated. Being that they were the ones who committed the act of killing using guns or martial art techniques, they can be overwhelmed by the aftermath of the experience</w:t>
      </w:r>
      <w:r w:rsidRPr="00C013E7">
        <w:rPr>
          <w:rFonts w:eastAsia="Times New Roman" w:cs="Times New Roman"/>
          <w:szCs w:val="24"/>
        </w:rPr>
        <w:t xml:space="preserve"> </w:t>
      </w:r>
      <w:r>
        <w:rPr>
          <w:rFonts w:eastAsia="Times New Roman" w:cs="Times New Roman"/>
          <w:szCs w:val="24"/>
        </w:rPr>
        <w:t>(Pereboom, 2019)</w:t>
      </w:r>
      <w:r>
        <w:t>. They get to understand that the person they killed had a family who loved and adored him. And this may make the killer remorseful of his action.</w:t>
      </w:r>
    </w:p>
    <w:p w:rsidR="00AC55C9" w:rsidRDefault="00AC55C9" w:rsidP="00AC55C9">
      <w:pPr>
        <w:ind w:firstLine="720"/>
      </w:pPr>
      <w:r w:rsidRPr="000C66E4">
        <w:t xml:space="preserve">A society that permits killing in self-defense may further incur the problem of deliberate killings when there is no risk of attack. Some people might take advantage of their abusers to inflict deathly injuries on them at the time when there is a lull in the attack or when the attacker is asleep. Thus this stance might be used by an individual to claim that he or she was under attack and opted to kill or injure the person in self-defense. For instance, a woman who </w:t>
      </w:r>
      <w:r w:rsidRPr="000C66E4">
        <w:lastRenderedPageBreak/>
        <w:t>encounters a threat of violence, such as being battered by her husband, may wait until the husband is asleep and use deadly force to harm the husband. Tellingly, she opts for such action at the time when serious bodily injury is not forthcoming. For self-defense to be initiated, the imminence of an attack has to be brought into play.</w:t>
      </w:r>
    </w:p>
    <w:p w:rsidR="0072373B" w:rsidRDefault="0072373B" w:rsidP="0072373B">
      <w:pPr>
        <w:ind w:firstLine="720"/>
      </w:pPr>
      <w:r>
        <w:t>Everyone has the responsibility of engaging in self-defense as per the required social norms known as ethics. Ethical behavior encompasses systematizing, defending as well as recommending impressions of right and wrong conduct</w:t>
      </w:r>
      <w:r w:rsidRPr="00C013E7">
        <w:rPr>
          <w:rFonts w:eastAsia="Times New Roman" w:cs="Times New Roman"/>
          <w:szCs w:val="24"/>
        </w:rPr>
        <w:t xml:space="preserve"> </w:t>
      </w:r>
      <w:r>
        <w:rPr>
          <w:rFonts w:eastAsia="Times New Roman" w:cs="Times New Roman"/>
          <w:szCs w:val="24"/>
        </w:rPr>
        <w:t>(Gordon‐Solmon, 2019)</w:t>
      </w:r>
      <w:r>
        <w:t>. The ethics of self-defense can better be understood by examining the responses of individuals who have been attacked by another person. The body incurs natural responses to scary circumstances. The onset of the innate responses makes a person becomes disoriented, confused as well as afraid, which impairs their decision-making during such situations. Thus people tend to function effectively in high-pressure circumstances when the adrenaline kicks in. During this situation, an individual can lose his or her sense of proportion as well as the knowledge of actions regarded to be ethically sound since he or she is under threat – attack – prompting a reaction to defend oneself. A weakness in the form of fear or portraying the inability to defend oneself may be used to the advantage of another person – the attacker.</w:t>
      </w:r>
    </w:p>
    <w:p w:rsidR="005C5E89" w:rsidRPr="009F1B29" w:rsidRDefault="0072373B" w:rsidP="00241379">
      <w:r>
        <w:t xml:space="preserve">           The exercising of self-defense is aimed at defending oneself from being a victim of an attack. Hence it is essential for one to strike the attacker on vulnerable areas of the body, thereby permitting one to evade danger and be safe from the situation. Conversely, the field of ethics denotes that self-defense has to be done on the grounds of proportionate response</w:t>
      </w:r>
      <w:r w:rsidRPr="00C013E7">
        <w:rPr>
          <w:rFonts w:eastAsia="Times New Roman" w:cs="Times New Roman"/>
          <w:szCs w:val="24"/>
        </w:rPr>
        <w:t xml:space="preserve"> </w:t>
      </w:r>
      <w:r>
        <w:rPr>
          <w:rFonts w:eastAsia="Times New Roman" w:cs="Times New Roman"/>
          <w:szCs w:val="24"/>
        </w:rPr>
        <w:t>(Tomlin, 2019)</w:t>
      </w:r>
      <w:r>
        <w:t xml:space="preserve">. Ethics assigns that people ought to defend themselves when exposed to attacks but not doing so with the motive to hurt others. However, many people engage in disproportionate responses when faced with an attacker. For instance, kicking another person’s groin for </w:t>
      </w:r>
      <w:r>
        <w:lastRenderedPageBreak/>
        <w:t>unintentionally pushing you into the garbage is regrettable. There is a need to understand the stages of attack to get to know the tactics necessary for self-defense and how to avoid such circumstances. Most importantly, a person is required to act responsibly as well as proportionately to evade instances that may result in attacks.</w:t>
      </w:r>
      <w:r w:rsidR="00241379" w:rsidRPr="00241379">
        <w:t xml:space="preserve"> </w:t>
      </w:r>
      <w:r w:rsidR="00241379" w:rsidRPr="00274A72">
        <w:t>It is ethical for an individual to engage in self-defense when reducing the harm being imposed on him or her by an attacker. There is a need to defend oneself from an imminent of a deadly attack that may result in death or injury.  Hence a force that may lead to serious harm to the body is reasonable in self-defense.</w:t>
      </w:r>
    </w:p>
    <w:p w:rsidR="0072373B" w:rsidRDefault="0072373B" w:rsidP="0072373B"/>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p>
    <w:p w:rsidR="0072373B" w:rsidRDefault="0072373B" w:rsidP="0072373B">
      <w:pPr>
        <w:jc w:val="center"/>
      </w:pPr>
      <w:r>
        <w:t>References</w:t>
      </w:r>
    </w:p>
    <w:p w:rsidR="0072373B" w:rsidRPr="00C013E7" w:rsidRDefault="0072373B" w:rsidP="0072373B">
      <w:pPr>
        <w:spacing w:after="0"/>
        <w:ind w:left="720" w:hanging="720"/>
        <w:rPr>
          <w:rFonts w:eastAsia="Times New Roman" w:cs="Times New Roman"/>
          <w:szCs w:val="24"/>
        </w:rPr>
      </w:pPr>
      <w:r w:rsidRPr="00C013E7">
        <w:rPr>
          <w:rFonts w:eastAsia="Times New Roman" w:cs="Times New Roman"/>
          <w:szCs w:val="24"/>
        </w:rPr>
        <w:t xml:space="preserve">Blank, L. R. (2020). The Use of Force to Prevent Recurrence of Conflict: Where are the Limits of Self-Defense?. </w:t>
      </w:r>
      <w:r w:rsidRPr="00C013E7">
        <w:rPr>
          <w:rFonts w:eastAsia="Times New Roman" w:cs="Times New Roman"/>
          <w:i/>
          <w:iCs/>
          <w:szCs w:val="24"/>
        </w:rPr>
        <w:t>Brooklyn Law Review</w:t>
      </w:r>
      <w:r w:rsidRPr="00C013E7">
        <w:rPr>
          <w:rFonts w:eastAsia="Times New Roman" w:cs="Times New Roman"/>
          <w:szCs w:val="24"/>
        </w:rPr>
        <w:t xml:space="preserve">, </w:t>
      </w:r>
      <w:r w:rsidRPr="00C013E7">
        <w:rPr>
          <w:rFonts w:eastAsia="Times New Roman" w:cs="Times New Roman"/>
          <w:i/>
          <w:iCs/>
          <w:szCs w:val="24"/>
        </w:rPr>
        <w:t>85</w:t>
      </w:r>
      <w:r w:rsidRPr="00C013E7">
        <w:rPr>
          <w:rFonts w:eastAsia="Times New Roman" w:cs="Times New Roman"/>
          <w:szCs w:val="24"/>
        </w:rPr>
        <w:t>.</w:t>
      </w:r>
    </w:p>
    <w:p w:rsidR="0072373B" w:rsidRPr="00C013E7" w:rsidRDefault="0072373B" w:rsidP="0072373B">
      <w:pPr>
        <w:spacing w:after="0"/>
        <w:ind w:left="720" w:hanging="720"/>
        <w:rPr>
          <w:rFonts w:eastAsia="Times New Roman" w:cs="Times New Roman"/>
          <w:szCs w:val="24"/>
        </w:rPr>
      </w:pPr>
      <w:r w:rsidRPr="00C013E7">
        <w:rPr>
          <w:rFonts w:eastAsia="Times New Roman" w:cs="Times New Roman"/>
          <w:szCs w:val="24"/>
        </w:rPr>
        <w:t xml:space="preserve">Chen, H., Dou, W., Guo, H., &amp; Ji, Y. (2020). Predation or Self-Defense? Endogenous Competition and Financial Distress. </w:t>
      </w:r>
      <w:r w:rsidRPr="00C013E7">
        <w:rPr>
          <w:rFonts w:eastAsia="Times New Roman" w:cs="Times New Roman"/>
          <w:i/>
          <w:iCs/>
          <w:szCs w:val="24"/>
        </w:rPr>
        <w:t>Endogenous Competition and Financial Distress (January 3, 2020)</w:t>
      </w:r>
      <w:r w:rsidRPr="00C013E7">
        <w:rPr>
          <w:rFonts w:eastAsia="Times New Roman" w:cs="Times New Roman"/>
          <w:szCs w:val="24"/>
        </w:rPr>
        <w:t>.</w:t>
      </w:r>
    </w:p>
    <w:p w:rsidR="0072373B" w:rsidRPr="00255EB1" w:rsidRDefault="0072373B" w:rsidP="0072373B">
      <w:pPr>
        <w:spacing w:after="0"/>
        <w:ind w:left="720" w:hanging="720"/>
        <w:rPr>
          <w:rFonts w:eastAsia="Times New Roman" w:cs="Times New Roman"/>
          <w:szCs w:val="24"/>
        </w:rPr>
      </w:pPr>
      <w:r w:rsidRPr="00255EB1">
        <w:rPr>
          <w:rFonts w:eastAsia="Times New Roman" w:cs="Times New Roman"/>
          <w:szCs w:val="24"/>
        </w:rPr>
        <w:t xml:space="preserve">Gordon‐Solmon, K. (2019). Not as a Means: Killing as a Side Effect in Self‐defense. </w:t>
      </w:r>
      <w:r w:rsidRPr="00255EB1">
        <w:rPr>
          <w:rFonts w:eastAsia="Times New Roman" w:cs="Times New Roman"/>
          <w:i/>
          <w:iCs/>
          <w:szCs w:val="24"/>
        </w:rPr>
        <w:t>Pacific Philosophical Quarterly</w:t>
      </w:r>
      <w:r w:rsidRPr="00255EB1">
        <w:rPr>
          <w:rFonts w:eastAsia="Times New Roman" w:cs="Times New Roman"/>
          <w:szCs w:val="24"/>
        </w:rPr>
        <w:t xml:space="preserve">, </w:t>
      </w:r>
      <w:r w:rsidRPr="00255EB1">
        <w:rPr>
          <w:rFonts w:eastAsia="Times New Roman" w:cs="Times New Roman"/>
          <w:i/>
          <w:iCs/>
          <w:szCs w:val="24"/>
        </w:rPr>
        <w:t>100</w:t>
      </w:r>
      <w:r w:rsidRPr="00255EB1">
        <w:rPr>
          <w:rFonts w:eastAsia="Times New Roman" w:cs="Times New Roman"/>
          <w:szCs w:val="24"/>
        </w:rPr>
        <w:t>(4), 1074-1090.</w:t>
      </w:r>
    </w:p>
    <w:p w:rsidR="0072373B" w:rsidRPr="00255EB1" w:rsidRDefault="0072373B" w:rsidP="0072373B">
      <w:pPr>
        <w:spacing w:after="0"/>
        <w:ind w:left="720" w:hanging="720"/>
        <w:rPr>
          <w:rFonts w:eastAsia="Times New Roman" w:cs="Times New Roman"/>
          <w:szCs w:val="24"/>
        </w:rPr>
      </w:pPr>
      <w:r w:rsidRPr="00255EB1">
        <w:rPr>
          <w:rFonts w:eastAsia="Times New Roman" w:cs="Times New Roman"/>
          <w:szCs w:val="24"/>
        </w:rPr>
        <w:t xml:space="preserve">Pereboom, D. (2019). Self-Defense, Deterrence, and the Use Objection: A Comment on Victor Tadros’s Wrongs and Crimes. </w:t>
      </w:r>
      <w:r w:rsidRPr="00255EB1">
        <w:rPr>
          <w:rFonts w:eastAsia="Times New Roman" w:cs="Times New Roman"/>
          <w:i/>
          <w:iCs/>
          <w:szCs w:val="24"/>
        </w:rPr>
        <w:t>Criminal Law and Philosophy</w:t>
      </w:r>
      <w:r w:rsidRPr="00255EB1">
        <w:rPr>
          <w:rFonts w:eastAsia="Times New Roman" w:cs="Times New Roman"/>
          <w:szCs w:val="24"/>
        </w:rPr>
        <w:t xml:space="preserve">, </w:t>
      </w:r>
      <w:r w:rsidRPr="00255EB1">
        <w:rPr>
          <w:rFonts w:eastAsia="Times New Roman" w:cs="Times New Roman"/>
          <w:i/>
          <w:iCs/>
          <w:szCs w:val="24"/>
        </w:rPr>
        <w:t>13</w:t>
      </w:r>
      <w:r w:rsidRPr="00255EB1">
        <w:rPr>
          <w:rFonts w:eastAsia="Times New Roman" w:cs="Times New Roman"/>
          <w:szCs w:val="24"/>
        </w:rPr>
        <w:t>(3), 439-454.</w:t>
      </w:r>
    </w:p>
    <w:p w:rsidR="0072373B" w:rsidRPr="00255EB1" w:rsidRDefault="0072373B" w:rsidP="0072373B">
      <w:pPr>
        <w:spacing w:after="0"/>
        <w:ind w:left="720" w:hanging="720"/>
        <w:rPr>
          <w:rFonts w:eastAsia="Times New Roman" w:cs="Times New Roman"/>
          <w:szCs w:val="24"/>
        </w:rPr>
      </w:pPr>
      <w:r w:rsidRPr="00255EB1">
        <w:rPr>
          <w:rFonts w:eastAsia="Times New Roman" w:cs="Times New Roman"/>
          <w:szCs w:val="24"/>
        </w:rPr>
        <w:t xml:space="preserve">Tomlin, P. (2019). Subjective Proportionality. </w:t>
      </w:r>
      <w:r w:rsidRPr="00255EB1">
        <w:rPr>
          <w:rFonts w:eastAsia="Times New Roman" w:cs="Times New Roman"/>
          <w:i/>
          <w:iCs/>
          <w:szCs w:val="24"/>
        </w:rPr>
        <w:t>Ethics</w:t>
      </w:r>
      <w:r w:rsidRPr="00255EB1">
        <w:rPr>
          <w:rFonts w:eastAsia="Times New Roman" w:cs="Times New Roman"/>
          <w:szCs w:val="24"/>
        </w:rPr>
        <w:t xml:space="preserve">, </w:t>
      </w:r>
      <w:r w:rsidRPr="00255EB1">
        <w:rPr>
          <w:rFonts w:eastAsia="Times New Roman" w:cs="Times New Roman"/>
          <w:i/>
          <w:iCs/>
          <w:szCs w:val="24"/>
        </w:rPr>
        <w:t>129</w:t>
      </w:r>
      <w:r w:rsidRPr="00255EB1">
        <w:rPr>
          <w:rFonts w:eastAsia="Times New Roman" w:cs="Times New Roman"/>
          <w:szCs w:val="24"/>
        </w:rPr>
        <w:t>(2), 254-283.</w:t>
      </w:r>
    </w:p>
    <w:p w:rsidR="0072373B" w:rsidRPr="00C013E7" w:rsidRDefault="0072373B" w:rsidP="0072373B">
      <w:pPr>
        <w:spacing w:after="0"/>
        <w:ind w:left="720" w:hanging="720"/>
        <w:rPr>
          <w:rFonts w:eastAsia="Times New Roman" w:cs="Times New Roman"/>
          <w:szCs w:val="24"/>
        </w:rPr>
      </w:pPr>
      <w:r w:rsidRPr="00C013E7">
        <w:rPr>
          <w:rFonts w:eastAsia="Times New Roman" w:cs="Times New Roman"/>
          <w:szCs w:val="24"/>
        </w:rPr>
        <w:t xml:space="preserve">Torres, J. (2020). Predicting law enforcement confidence in going ‘hands-on’: The impact of martial arts training, use-of-force self-efficacy, motivation, and apprehensiveness. </w:t>
      </w:r>
      <w:r w:rsidRPr="00C013E7">
        <w:rPr>
          <w:rFonts w:eastAsia="Times New Roman" w:cs="Times New Roman"/>
          <w:i/>
          <w:iCs/>
          <w:szCs w:val="24"/>
        </w:rPr>
        <w:t>Police Practice and Research</w:t>
      </w:r>
      <w:r w:rsidRPr="00C013E7">
        <w:rPr>
          <w:rFonts w:eastAsia="Times New Roman" w:cs="Times New Roman"/>
          <w:szCs w:val="24"/>
        </w:rPr>
        <w:t xml:space="preserve">, </w:t>
      </w:r>
      <w:r w:rsidRPr="00C013E7">
        <w:rPr>
          <w:rFonts w:eastAsia="Times New Roman" w:cs="Times New Roman"/>
          <w:i/>
          <w:iCs/>
          <w:szCs w:val="24"/>
        </w:rPr>
        <w:t>21</w:t>
      </w:r>
      <w:r w:rsidRPr="00C013E7">
        <w:rPr>
          <w:rFonts w:eastAsia="Times New Roman" w:cs="Times New Roman"/>
          <w:szCs w:val="24"/>
        </w:rPr>
        <w:t>(2), 187-203.</w:t>
      </w:r>
    </w:p>
    <w:p w:rsidR="0072373B" w:rsidRDefault="0072373B" w:rsidP="0072373B">
      <w:pPr>
        <w:jc w:val="center"/>
      </w:pPr>
    </w:p>
    <w:p w:rsidR="0072373B" w:rsidRDefault="0072373B" w:rsidP="0072373B"/>
    <w:p w:rsidR="0072373B" w:rsidRDefault="0072373B" w:rsidP="0072373B"/>
    <w:p w:rsidR="0072373B" w:rsidRPr="00255EB1" w:rsidRDefault="0072373B" w:rsidP="0072373B"/>
    <w:p w:rsidR="0072373B" w:rsidRDefault="0072373B" w:rsidP="0072373B">
      <w:pPr>
        <w:jc w:val="center"/>
      </w:pPr>
    </w:p>
    <w:p w:rsidR="0072373B" w:rsidRPr="007F084C" w:rsidRDefault="0072373B" w:rsidP="007F084C"/>
    <w:sectPr w:rsidR="0072373B" w:rsidRPr="007F084C" w:rsidSect="007237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04D" w:rsidRDefault="0043504D" w:rsidP="0072373B">
      <w:pPr>
        <w:spacing w:after="0" w:line="240" w:lineRule="auto"/>
      </w:pPr>
      <w:r>
        <w:separator/>
      </w:r>
    </w:p>
  </w:endnote>
  <w:endnote w:type="continuationSeparator" w:id="0">
    <w:p w:rsidR="0043504D" w:rsidRDefault="0043504D" w:rsidP="0072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04D" w:rsidRDefault="0043504D" w:rsidP="0072373B">
      <w:pPr>
        <w:spacing w:after="0" w:line="240" w:lineRule="auto"/>
      </w:pPr>
      <w:r>
        <w:separator/>
      </w:r>
    </w:p>
  </w:footnote>
  <w:footnote w:type="continuationSeparator" w:id="0">
    <w:p w:rsidR="0043504D" w:rsidRDefault="0043504D" w:rsidP="00723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078313"/>
      <w:docPartObj>
        <w:docPartGallery w:val="Page Numbers (Top of Page)"/>
        <w:docPartUnique/>
      </w:docPartObj>
    </w:sdtPr>
    <w:sdtEndPr/>
    <w:sdtContent>
      <w:p w:rsidR="0072373B" w:rsidRDefault="0072373B">
        <w:pPr>
          <w:pStyle w:val="Header"/>
          <w:jc w:val="right"/>
        </w:pPr>
        <w:r>
          <w:t>SELF-DEFENSE</w:t>
        </w:r>
        <w:r>
          <w:tab/>
        </w:r>
        <w:r>
          <w:tab/>
        </w:r>
        <w:r w:rsidR="0043504D">
          <w:fldChar w:fldCharType="begin"/>
        </w:r>
        <w:r w:rsidR="0043504D">
          <w:instrText xml:space="preserve"> PAGE   \* MERGEFORMAT </w:instrText>
        </w:r>
        <w:r w:rsidR="0043504D">
          <w:fldChar w:fldCharType="separate"/>
        </w:r>
        <w:r w:rsidR="00AD763E">
          <w:rPr>
            <w:noProof/>
          </w:rPr>
          <w:t>4</w:t>
        </w:r>
        <w:r w:rsidR="0043504D">
          <w:rPr>
            <w:noProof/>
          </w:rPr>
          <w:fldChar w:fldCharType="end"/>
        </w:r>
      </w:p>
    </w:sdtContent>
  </w:sdt>
  <w:p w:rsidR="0072373B" w:rsidRDefault="007237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73B" w:rsidRDefault="0072373B">
    <w:pPr>
      <w:pStyle w:val="Header"/>
    </w:pPr>
    <w:r>
      <w:t>Running Head: SELF-DEFENSE</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B67A93"/>
    <w:multiLevelType w:val="hybridMultilevel"/>
    <w:tmpl w:val="B1C458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614"/>
    <w:rsid w:val="00004AEA"/>
    <w:rsid w:val="00020797"/>
    <w:rsid w:val="000E792F"/>
    <w:rsid w:val="001A6614"/>
    <w:rsid w:val="00241379"/>
    <w:rsid w:val="00255EB1"/>
    <w:rsid w:val="002D25C0"/>
    <w:rsid w:val="003328F2"/>
    <w:rsid w:val="00396A05"/>
    <w:rsid w:val="0043504D"/>
    <w:rsid w:val="004831FE"/>
    <w:rsid w:val="004A151B"/>
    <w:rsid w:val="004A1FF5"/>
    <w:rsid w:val="004C73B0"/>
    <w:rsid w:val="00545EA4"/>
    <w:rsid w:val="00667AFD"/>
    <w:rsid w:val="0072373B"/>
    <w:rsid w:val="007F084C"/>
    <w:rsid w:val="00841178"/>
    <w:rsid w:val="00864CD1"/>
    <w:rsid w:val="00AC55C9"/>
    <w:rsid w:val="00AD763E"/>
    <w:rsid w:val="00BF64DD"/>
    <w:rsid w:val="00C013E7"/>
    <w:rsid w:val="00DB7626"/>
    <w:rsid w:val="00EE12D6"/>
    <w:rsid w:val="00F43DA9"/>
    <w:rsid w:val="00FF2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FF0D3D-39A6-4030-9D2A-E96E76DE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73B"/>
    <w:rPr>
      <w:rFonts w:ascii="Times New Roman" w:hAnsi="Times New Roman"/>
      <w:sz w:val="24"/>
    </w:rPr>
  </w:style>
  <w:style w:type="paragraph" w:styleId="Footer">
    <w:name w:val="footer"/>
    <w:basedOn w:val="Normal"/>
    <w:link w:val="FooterChar"/>
    <w:uiPriority w:val="99"/>
    <w:semiHidden/>
    <w:unhideWhenUsed/>
    <w:rsid w:val="007237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373B"/>
    <w:rPr>
      <w:rFonts w:ascii="Times New Roman" w:hAnsi="Times New Roman"/>
      <w:sz w:val="24"/>
    </w:rPr>
  </w:style>
  <w:style w:type="paragraph" w:styleId="ListParagraph">
    <w:name w:val="List Paragraph"/>
    <w:basedOn w:val="Normal"/>
    <w:uiPriority w:val="34"/>
    <w:qFormat/>
    <w:rsid w:val="00AC55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08052">
      <w:bodyDiv w:val="1"/>
      <w:marLeft w:val="0"/>
      <w:marRight w:val="0"/>
      <w:marTop w:val="0"/>
      <w:marBottom w:val="0"/>
      <w:divBdr>
        <w:top w:val="none" w:sz="0" w:space="0" w:color="auto"/>
        <w:left w:val="none" w:sz="0" w:space="0" w:color="auto"/>
        <w:bottom w:val="none" w:sz="0" w:space="0" w:color="auto"/>
        <w:right w:val="none" w:sz="0" w:space="0" w:color="auto"/>
      </w:divBdr>
      <w:divsChild>
        <w:div w:id="2136368649">
          <w:marLeft w:val="0"/>
          <w:marRight w:val="0"/>
          <w:marTop w:val="0"/>
          <w:marBottom w:val="0"/>
          <w:divBdr>
            <w:top w:val="none" w:sz="0" w:space="0" w:color="auto"/>
            <w:left w:val="none" w:sz="0" w:space="0" w:color="auto"/>
            <w:bottom w:val="none" w:sz="0" w:space="0" w:color="auto"/>
            <w:right w:val="none" w:sz="0" w:space="0" w:color="auto"/>
          </w:divBdr>
        </w:div>
      </w:divsChild>
    </w:div>
    <w:div w:id="492722825">
      <w:bodyDiv w:val="1"/>
      <w:marLeft w:val="0"/>
      <w:marRight w:val="0"/>
      <w:marTop w:val="0"/>
      <w:marBottom w:val="0"/>
      <w:divBdr>
        <w:top w:val="none" w:sz="0" w:space="0" w:color="auto"/>
        <w:left w:val="none" w:sz="0" w:space="0" w:color="auto"/>
        <w:bottom w:val="none" w:sz="0" w:space="0" w:color="auto"/>
        <w:right w:val="none" w:sz="0" w:space="0" w:color="auto"/>
      </w:divBdr>
      <w:divsChild>
        <w:div w:id="1807510249">
          <w:marLeft w:val="0"/>
          <w:marRight w:val="0"/>
          <w:marTop w:val="0"/>
          <w:marBottom w:val="0"/>
          <w:divBdr>
            <w:top w:val="none" w:sz="0" w:space="0" w:color="auto"/>
            <w:left w:val="none" w:sz="0" w:space="0" w:color="auto"/>
            <w:bottom w:val="none" w:sz="0" w:space="0" w:color="auto"/>
            <w:right w:val="none" w:sz="0" w:space="0" w:color="auto"/>
          </w:divBdr>
        </w:div>
      </w:divsChild>
    </w:div>
    <w:div w:id="1670865034">
      <w:bodyDiv w:val="1"/>
      <w:marLeft w:val="0"/>
      <w:marRight w:val="0"/>
      <w:marTop w:val="0"/>
      <w:marBottom w:val="0"/>
      <w:divBdr>
        <w:top w:val="none" w:sz="0" w:space="0" w:color="auto"/>
        <w:left w:val="none" w:sz="0" w:space="0" w:color="auto"/>
        <w:bottom w:val="none" w:sz="0" w:space="0" w:color="auto"/>
        <w:right w:val="none" w:sz="0" w:space="0" w:color="auto"/>
      </w:divBdr>
      <w:divsChild>
        <w:div w:id="1021007147">
          <w:marLeft w:val="0"/>
          <w:marRight w:val="0"/>
          <w:marTop w:val="0"/>
          <w:marBottom w:val="0"/>
          <w:divBdr>
            <w:top w:val="none" w:sz="0" w:space="0" w:color="auto"/>
            <w:left w:val="none" w:sz="0" w:space="0" w:color="auto"/>
            <w:bottom w:val="none" w:sz="0" w:space="0" w:color="auto"/>
            <w:right w:val="none" w:sz="0" w:space="0" w:color="auto"/>
          </w:divBdr>
        </w:div>
      </w:divsChild>
    </w:div>
    <w:div w:id="1771076857">
      <w:bodyDiv w:val="1"/>
      <w:marLeft w:val="0"/>
      <w:marRight w:val="0"/>
      <w:marTop w:val="0"/>
      <w:marBottom w:val="0"/>
      <w:divBdr>
        <w:top w:val="none" w:sz="0" w:space="0" w:color="auto"/>
        <w:left w:val="none" w:sz="0" w:space="0" w:color="auto"/>
        <w:bottom w:val="none" w:sz="0" w:space="0" w:color="auto"/>
        <w:right w:val="none" w:sz="0" w:space="0" w:color="auto"/>
      </w:divBdr>
      <w:divsChild>
        <w:div w:id="1349212349">
          <w:marLeft w:val="0"/>
          <w:marRight w:val="0"/>
          <w:marTop w:val="0"/>
          <w:marBottom w:val="0"/>
          <w:divBdr>
            <w:top w:val="none" w:sz="0" w:space="0" w:color="auto"/>
            <w:left w:val="none" w:sz="0" w:space="0" w:color="auto"/>
            <w:bottom w:val="none" w:sz="0" w:space="0" w:color="auto"/>
            <w:right w:val="none" w:sz="0" w:space="0" w:color="auto"/>
          </w:divBdr>
        </w:div>
      </w:divsChild>
    </w:div>
    <w:div w:id="1823080633">
      <w:bodyDiv w:val="1"/>
      <w:marLeft w:val="0"/>
      <w:marRight w:val="0"/>
      <w:marTop w:val="0"/>
      <w:marBottom w:val="0"/>
      <w:divBdr>
        <w:top w:val="none" w:sz="0" w:space="0" w:color="auto"/>
        <w:left w:val="none" w:sz="0" w:space="0" w:color="auto"/>
        <w:bottom w:val="none" w:sz="0" w:space="0" w:color="auto"/>
        <w:right w:val="none" w:sz="0" w:space="0" w:color="auto"/>
      </w:divBdr>
      <w:divsChild>
        <w:div w:id="1037048573">
          <w:marLeft w:val="0"/>
          <w:marRight w:val="0"/>
          <w:marTop w:val="0"/>
          <w:marBottom w:val="0"/>
          <w:divBdr>
            <w:top w:val="none" w:sz="0" w:space="0" w:color="auto"/>
            <w:left w:val="none" w:sz="0" w:space="0" w:color="auto"/>
            <w:bottom w:val="none" w:sz="0" w:space="0" w:color="auto"/>
            <w:right w:val="none" w:sz="0" w:space="0" w:color="auto"/>
          </w:divBdr>
        </w:div>
      </w:divsChild>
    </w:div>
    <w:div w:id="2109034706">
      <w:bodyDiv w:val="1"/>
      <w:marLeft w:val="0"/>
      <w:marRight w:val="0"/>
      <w:marTop w:val="0"/>
      <w:marBottom w:val="0"/>
      <w:divBdr>
        <w:top w:val="none" w:sz="0" w:space="0" w:color="auto"/>
        <w:left w:val="none" w:sz="0" w:space="0" w:color="auto"/>
        <w:bottom w:val="none" w:sz="0" w:space="0" w:color="auto"/>
        <w:right w:val="none" w:sz="0" w:space="0" w:color="auto"/>
      </w:divBdr>
      <w:divsChild>
        <w:div w:id="1628971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2020-05-01T15:47:00Z</dcterms:created>
  <dcterms:modified xsi:type="dcterms:W3CDTF">2020-05-01T15:47:00Z</dcterms:modified>
</cp:coreProperties>
</file>