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3D30" w:rsidRDefault="00CB3D30" w:rsidP="004639B0">
      <w:pPr>
        <w:spacing w:line="480" w:lineRule="auto"/>
        <w:jc w:val="center"/>
        <w:rPr>
          <w:rFonts w:ascii="Times New Roman" w:hAnsi="Times New Roman" w:cs="Times New Roman"/>
          <w:sz w:val="24"/>
          <w:szCs w:val="24"/>
        </w:rPr>
      </w:pPr>
    </w:p>
    <w:p w:rsidR="00CB3D30" w:rsidRDefault="00CB3D30" w:rsidP="004639B0">
      <w:pPr>
        <w:spacing w:line="480" w:lineRule="auto"/>
        <w:jc w:val="center"/>
        <w:rPr>
          <w:rFonts w:ascii="Times New Roman" w:hAnsi="Times New Roman" w:cs="Times New Roman"/>
          <w:sz w:val="24"/>
          <w:szCs w:val="24"/>
        </w:rPr>
      </w:pPr>
    </w:p>
    <w:p w:rsidR="00CB3D30" w:rsidRDefault="00CB3D30" w:rsidP="004639B0">
      <w:pPr>
        <w:spacing w:line="480" w:lineRule="auto"/>
        <w:jc w:val="center"/>
        <w:rPr>
          <w:rFonts w:ascii="Times New Roman" w:hAnsi="Times New Roman" w:cs="Times New Roman"/>
          <w:sz w:val="24"/>
          <w:szCs w:val="24"/>
        </w:rPr>
      </w:pPr>
    </w:p>
    <w:p w:rsidR="00744631" w:rsidRPr="00744631" w:rsidRDefault="00744631" w:rsidP="004639B0">
      <w:pPr>
        <w:spacing w:line="480" w:lineRule="auto"/>
        <w:jc w:val="center"/>
        <w:rPr>
          <w:rFonts w:ascii="Times New Roman" w:hAnsi="Times New Roman" w:cs="Times New Roman"/>
          <w:sz w:val="24"/>
          <w:szCs w:val="24"/>
        </w:rPr>
      </w:pPr>
      <w:r>
        <w:rPr>
          <w:rFonts w:ascii="Times New Roman" w:hAnsi="Times New Roman" w:cs="Times New Roman"/>
          <w:sz w:val="24"/>
          <w:szCs w:val="24"/>
        </w:rPr>
        <w:t>THE D</w:t>
      </w:r>
      <w:r w:rsidR="00CB3D30">
        <w:rPr>
          <w:rFonts w:ascii="Times New Roman" w:hAnsi="Times New Roman" w:cs="Times New Roman"/>
          <w:sz w:val="24"/>
          <w:szCs w:val="24"/>
        </w:rPr>
        <w:t>EBATE OVER SLAVERY</w:t>
      </w:r>
    </w:p>
    <w:p w:rsidR="00744631" w:rsidRPr="00744631" w:rsidRDefault="00744631" w:rsidP="004639B0">
      <w:pPr>
        <w:spacing w:line="480" w:lineRule="auto"/>
        <w:jc w:val="center"/>
        <w:rPr>
          <w:rFonts w:ascii="Times New Roman" w:hAnsi="Times New Roman" w:cs="Times New Roman"/>
          <w:sz w:val="24"/>
          <w:szCs w:val="24"/>
        </w:rPr>
      </w:pPr>
    </w:p>
    <w:p w:rsidR="00744631" w:rsidRPr="00744631" w:rsidRDefault="00744631" w:rsidP="004639B0">
      <w:pPr>
        <w:spacing w:line="480" w:lineRule="auto"/>
        <w:jc w:val="center"/>
        <w:rPr>
          <w:rFonts w:ascii="Times New Roman" w:hAnsi="Times New Roman" w:cs="Times New Roman"/>
          <w:sz w:val="24"/>
          <w:szCs w:val="24"/>
        </w:rPr>
      </w:pPr>
    </w:p>
    <w:p w:rsidR="00744631" w:rsidRPr="00744631" w:rsidRDefault="00744631" w:rsidP="004639B0">
      <w:pPr>
        <w:spacing w:line="480" w:lineRule="auto"/>
        <w:jc w:val="center"/>
        <w:rPr>
          <w:rFonts w:ascii="Times New Roman" w:hAnsi="Times New Roman" w:cs="Times New Roman"/>
          <w:sz w:val="24"/>
          <w:szCs w:val="24"/>
        </w:rPr>
      </w:pPr>
    </w:p>
    <w:p w:rsidR="00744631" w:rsidRPr="00744631" w:rsidRDefault="00744631" w:rsidP="004639B0">
      <w:pPr>
        <w:spacing w:line="480" w:lineRule="auto"/>
        <w:jc w:val="center"/>
        <w:rPr>
          <w:rFonts w:ascii="Times New Roman" w:hAnsi="Times New Roman" w:cs="Times New Roman"/>
          <w:sz w:val="24"/>
          <w:szCs w:val="24"/>
        </w:rPr>
      </w:pPr>
    </w:p>
    <w:p w:rsidR="00744631" w:rsidRPr="00744631" w:rsidRDefault="00744631" w:rsidP="004639B0">
      <w:pPr>
        <w:spacing w:line="480" w:lineRule="auto"/>
        <w:jc w:val="center"/>
        <w:rPr>
          <w:rFonts w:ascii="Times New Roman" w:hAnsi="Times New Roman" w:cs="Times New Roman"/>
          <w:sz w:val="24"/>
          <w:szCs w:val="24"/>
        </w:rPr>
      </w:pPr>
    </w:p>
    <w:p w:rsidR="00744631" w:rsidRPr="00744631" w:rsidRDefault="00744631" w:rsidP="004639B0">
      <w:pPr>
        <w:spacing w:line="480" w:lineRule="auto"/>
        <w:jc w:val="center"/>
        <w:rPr>
          <w:rFonts w:ascii="Times New Roman" w:hAnsi="Times New Roman" w:cs="Times New Roman"/>
          <w:sz w:val="24"/>
          <w:szCs w:val="24"/>
        </w:rPr>
      </w:pPr>
    </w:p>
    <w:p w:rsidR="00744631" w:rsidRPr="00744631" w:rsidRDefault="00744631" w:rsidP="004639B0">
      <w:pPr>
        <w:spacing w:line="480" w:lineRule="auto"/>
        <w:jc w:val="center"/>
        <w:rPr>
          <w:rFonts w:ascii="Times New Roman" w:hAnsi="Times New Roman" w:cs="Times New Roman"/>
          <w:sz w:val="24"/>
          <w:szCs w:val="24"/>
        </w:rPr>
      </w:pPr>
      <w:r w:rsidRPr="00744631">
        <w:rPr>
          <w:rFonts w:ascii="Times New Roman" w:hAnsi="Times New Roman" w:cs="Times New Roman"/>
          <w:sz w:val="24"/>
          <w:szCs w:val="24"/>
        </w:rPr>
        <w:t>Student’s Name</w:t>
      </w:r>
    </w:p>
    <w:p w:rsidR="00744631" w:rsidRPr="00744631" w:rsidRDefault="00744631" w:rsidP="004639B0">
      <w:pPr>
        <w:spacing w:line="480" w:lineRule="auto"/>
        <w:jc w:val="center"/>
        <w:rPr>
          <w:rFonts w:ascii="Times New Roman" w:hAnsi="Times New Roman" w:cs="Times New Roman"/>
          <w:sz w:val="24"/>
          <w:szCs w:val="24"/>
        </w:rPr>
      </w:pPr>
      <w:r w:rsidRPr="00744631">
        <w:rPr>
          <w:rFonts w:ascii="Times New Roman" w:hAnsi="Times New Roman" w:cs="Times New Roman"/>
          <w:sz w:val="24"/>
          <w:szCs w:val="24"/>
        </w:rPr>
        <w:t>Course</w:t>
      </w:r>
    </w:p>
    <w:p w:rsidR="00744631" w:rsidRPr="00744631" w:rsidRDefault="00744631" w:rsidP="004639B0">
      <w:pPr>
        <w:spacing w:line="480" w:lineRule="auto"/>
        <w:jc w:val="center"/>
        <w:rPr>
          <w:rFonts w:ascii="Times New Roman" w:hAnsi="Times New Roman" w:cs="Times New Roman"/>
          <w:sz w:val="24"/>
          <w:szCs w:val="24"/>
        </w:rPr>
      </w:pPr>
      <w:r w:rsidRPr="00744631">
        <w:rPr>
          <w:rFonts w:ascii="Times New Roman" w:hAnsi="Times New Roman" w:cs="Times New Roman"/>
          <w:sz w:val="24"/>
          <w:szCs w:val="24"/>
        </w:rPr>
        <w:t>Institution</w:t>
      </w:r>
    </w:p>
    <w:p w:rsidR="00744631" w:rsidRPr="00744631" w:rsidRDefault="00744631" w:rsidP="004639B0">
      <w:pPr>
        <w:spacing w:line="480" w:lineRule="auto"/>
        <w:jc w:val="center"/>
        <w:rPr>
          <w:rFonts w:ascii="Times New Roman" w:hAnsi="Times New Roman" w:cs="Times New Roman"/>
          <w:sz w:val="24"/>
          <w:szCs w:val="24"/>
        </w:rPr>
      </w:pPr>
      <w:r w:rsidRPr="00744631">
        <w:rPr>
          <w:rFonts w:ascii="Times New Roman" w:hAnsi="Times New Roman" w:cs="Times New Roman"/>
          <w:sz w:val="24"/>
          <w:szCs w:val="24"/>
        </w:rPr>
        <w:t>Date</w:t>
      </w:r>
    </w:p>
    <w:p w:rsidR="00744631" w:rsidRDefault="00744631" w:rsidP="00744631">
      <w:pPr>
        <w:spacing w:line="480" w:lineRule="auto"/>
        <w:rPr>
          <w:rFonts w:ascii="Times New Roman" w:hAnsi="Times New Roman" w:cs="Times New Roman"/>
          <w:sz w:val="24"/>
          <w:szCs w:val="24"/>
        </w:rPr>
      </w:pPr>
      <w:r w:rsidRPr="00744631">
        <w:rPr>
          <w:rFonts w:ascii="Times New Roman" w:hAnsi="Times New Roman" w:cs="Times New Roman"/>
          <w:sz w:val="24"/>
          <w:szCs w:val="24"/>
        </w:rPr>
        <w:t> </w:t>
      </w:r>
    </w:p>
    <w:p w:rsidR="00744631" w:rsidRDefault="00744631">
      <w:pPr>
        <w:rPr>
          <w:rFonts w:ascii="Times New Roman" w:hAnsi="Times New Roman" w:cs="Times New Roman"/>
          <w:sz w:val="24"/>
          <w:szCs w:val="24"/>
        </w:rPr>
      </w:pPr>
      <w:r>
        <w:rPr>
          <w:rFonts w:ascii="Times New Roman" w:hAnsi="Times New Roman" w:cs="Times New Roman"/>
          <w:sz w:val="24"/>
          <w:szCs w:val="24"/>
        </w:rPr>
        <w:br w:type="page"/>
      </w:r>
    </w:p>
    <w:p w:rsidR="00EA0086" w:rsidRDefault="00083C2A" w:rsidP="00EA0086">
      <w:pPr>
        <w:spacing w:after="0" w:line="480" w:lineRule="auto"/>
        <w:ind w:firstLine="720"/>
        <w:contextualSpacing/>
        <w:rPr>
          <w:rFonts w:ascii="Times New Roman" w:hAnsi="Times New Roman" w:cs="Times New Roman"/>
          <w:sz w:val="24"/>
          <w:szCs w:val="24"/>
        </w:rPr>
      </w:pPr>
      <w:r w:rsidRPr="008472A6">
        <w:rPr>
          <w:rFonts w:ascii="Times New Roman" w:hAnsi="Times New Roman" w:cs="Times New Roman"/>
          <w:sz w:val="24"/>
          <w:szCs w:val="24"/>
        </w:rPr>
        <w:lastRenderedPageBreak/>
        <w:t xml:space="preserve">The topic of slavery has attracted a fair share of thoughts from different interlocutors who either challenge or support its practice in America. ‘The Spectator’ and ‘The Staunton Spectator’ present a profound and challenging discussion against the anti-slavery concepts presented by Douglas and Helper. The debate over slavery practiced in the South emerged over a long period as historians examined its benefits and demerits. The North was comprised of Free states with few Black individuals while a high population of coloreds was located in the South. On that note, slaves found in the South sought to escape to the North for freedom, but abolitionists in the North made life harder for them. </w:t>
      </w:r>
    </w:p>
    <w:p w:rsidR="00083C2A" w:rsidRPr="008472A6" w:rsidRDefault="00083C2A" w:rsidP="00EA0086">
      <w:pPr>
        <w:spacing w:after="0" w:line="480" w:lineRule="auto"/>
        <w:ind w:firstLine="720"/>
        <w:contextualSpacing/>
        <w:rPr>
          <w:rFonts w:ascii="Times New Roman" w:hAnsi="Times New Roman" w:cs="Times New Roman"/>
          <w:sz w:val="24"/>
          <w:szCs w:val="24"/>
        </w:rPr>
      </w:pPr>
      <w:r w:rsidRPr="008472A6">
        <w:rPr>
          <w:rFonts w:ascii="Times New Roman" w:hAnsi="Times New Roman" w:cs="Times New Roman"/>
          <w:sz w:val="24"/>
          <w:szCs w:val="24"/>
        </w:rPr>
        <w:t xml:space="preserve">‘The Spectator’ supports this essay’s thesis by presenting the merits of slavery based on a comparative analysis approach. The author of the article uses two distinct scenarios to </w:t>
      </w:r>
      <w:r w:rsidR="00383DEF" w:rsidRPr="008472A6">
        <w:rPr>
          <w:rFonts w:ascii="Times New Roman" w:hAnsi="Times New Roman" w:cs="Times New Roman"/>
          <w:sz w:val="24"/>
          <w:szCs w:val="24"/>
        </w:rPr>
        <w:t>illustrate</w:t>
      </w:r>
      <w:r w:rsidRPr="008472A6">
        <w:rPr>
          <w:rFonts w:ascii="Times New Roman" w:hAnsi="Times New Roman" w:cs="Times New Roman"/>
          <w:sz w:val="24"/>
          <w:szCs w:val="24"/>
        </w:rPr>
        <w:t xml:space="preserve"> that the Negroes live in the most desirable conditions that fit their class as Southern slaves. The first evidence presented was the case of the Negro man who gathered his savings and purchased his freedom; as a result</w:t>
      </w:r>
      <w:r w:rsidR="00EE7669">
        <w:rPr>
          <w:rFonts w:ascii="Times New Roman" w:hAnsi="Times New Roman" w:cs="Times New Roman"/>
          <w:sz w:val="24"/>
          <w:szCs w:val="24"/>
        </w:rPr>
        <w:t>, left for Boston from Virginia</w:t>
      </w:r>
      <w:r w:rsidR="00EE7669">
        <w:rPr>
          <w:rStyle w:val="FootnoteReference"/>
          <w:rFonts w:ascii="Times New Roman" w:hAnsi="Times New Roman" w:cs="Times New Roman"/>
          <w:sz w:val="24"/>
          <w:szCs w:val="24"/>
        </w:rPr>
        <w:footnoteReference w:id="1"/>
      </w:r>
      <w:r w:rsidRPr="008472A6">
        <w:rPr>
          <w:rFonts w:ascii="Times New Roman" w:hAnsi="Times New Roman" w:cs="Times New Roman"/>
          <w:sz w:val="24"/>
          <w:szCs w:val="24"/>
        </w:rPr>
        <w:t xml:space="preserve"> The arrival of the Negro in the abolitionist-dominated state marked the beginning of his suffering to the extent that he declared his return to Virginia would be his ultimate savior. Additionally, the article uses the sermon of Mr. </w:t>
      </w:r>
      <w:proofErr w:type="spellStart"/>
      <w:r w:rsidRPr="008472A6">
        <w:rPr>
          <w:rFonts w:ascii="Times New Roman" w:hAnsi="Times New Roman" w:cs="Times New Roman"/>
          <w:sz w:val="24"/>
          <w:szCs w:val="24"/>
        </w:rPr>
        <w:t>Breecher</w:t>
      </w:r>
      <w:proofErr w:type="spellEnd"/>
      <w:r w:rsidRPr="008472A6">
        <w:rPr>
          <w:rFonts w:ascii="Times New Roman" w:hAnsi="Times New Roman" w:cs="Times New Roman"/>
          <w:sz w:val="24"/>
          <w:szCs w:val="24"/>
        </w:rPr>
        <w:t xml:space="preserve"> to ascertain that life in the South was better t</w:t>
      </w:r>
      <w:r w:rsidR="00EE7669">
        <w:rPr>
          <w:rFonts w:ascii="Times New Roman" w:hAnsi="Times New Roman" w:cs="Times New Roman"/>
          <w:sz w:val="24"/>
          <w:szCs w:val="24"/>
        </w:rPr>
        <w:t>han in the North for the slaves</w:t>
      </w:r>
      <w:r w:rsidR="00EE7669">
        <w:rPr>
          <w:rStyle w:val="FootnoteReference"/>
          <w:rFonts w:ascii="Times New Roman" w:hAnsi="Times New Roman" w:cs="Times New Roman"/>
          <w:sz w:val="24"/>
          <w:szCs w:val="24"/>
        </w:rPr>
        <w:footnoteReference w:id="2"/>
      </w:r>
      <w:r w:rsidR="00EE7669">
        <w:rPr>
          <w:rFonts w:ascii="Times New Roman" w:hAnsi="Times New Roman" w:cs="Times New Roman"/>
          <w:sz w:val="24"/>
          <w:szCs w:val="24"/>
        </w:rPr>
        <w:t xml:space="preserve">. </w:t>
      </w:r>
      <w:r w:rsidRPr="008472A6">
        <w:rPr>
          <w:rFonts w:ascii="Times New Roman" w:hAnsi="Times New Roman" w:cs="Times New Roman"/>
          <w:sz w:val="24"/>
          <w:szCs w:val="24"/>
        </w:rPr>
        <w:t>The sermon’s content compares the relationship between Blacks and Whites in both the North and the South. The life of a free Negro in the North is characterized by moral shame that does not allow them to associate in any manner with the Whites. In contrast, the death of a slave in the South was received with a lot of grief with the master who would also mourn the loss.</w:t>
      </w:r>
    </w:p>
    <w:p w:rsidR="0069229C" w:rsidRDefault="008472A6" w:rsidP="00EA0086">
      <w:pPr>
        <w:spacing w:after="0" w:line="480" w:lineRule="auto"/>
        <w:contextualSpacing/>
        <w:rPr>
          <w:rFonts w:ascii="Times New Roman" w:hAnsi="Times New Roman" w:cs="Times New Roman"/>
          <w:sz w:val="24"/>
          <w:szCs w:val="24"/>
        </w:rPr>
        <w:sectPr w:rsidR="0069229C" w:rsidSect="0069229C">
          <w:headerReference w:type="default" r:id="rId8"/>
          <w:pgSz w:w="12240" w:h="15840"/>
          <w:pgMar w:top="1440" w:right="1440" w:bottom="1440" w:left="1440" w:header="720" w:footer="720" w:gutter="0"/>
          <w:cols w:space="720"/>
          <w:titlePg/>
          <w:docGrid w:linePitch="360"/>
        </w:sectPr>
      </w:pPr>
      <w:r>
        <w:rPr>
          <w:rFonts w:ascii="Times New Roman" w:hAnsi="Times New Roman" w:cs="Times New Roman"/>
          <w:sz w:val="24"/>
          <w:szCs w:val="24"/>
        </w:rPr>
        <w:tab/>
      </w:r>
    </w:p>
    <w:p w:rsidR="00601317" w:rsidRDefault="00083C2A" w:rsidP="00601317">
      <w:pPr>
        <w:spacing w:after="0" w:line="480" w:lineRule="auto"/>
        <w:ind w:firstLine="720"/>
        <w:contextualSpacing/>
        <w:rPr>
          <w:rFonts w:ascii="Times New Roman" w:hAnsi="Times New Roman" w:cs="Times New Roman"/>
          <w:sz w:val="24"/>
          <w:szCs w:val="24"/>
        </w:rPr>
      </w:pPr>
      <w:r w:rsidRPr="008472A6">
        <w:rPr>
          <w:rFonts w:ascii="Times New Roman" w:hAnsi="Times New Roman" w:cs="Times New Roman"/>
          <w:sz w:val="24"/>
          <w:szCs w:val="24"/>
        </w:rPr>
        <w:lastRenderedPageBreak/>
        <w:t>Similarly, ‘The Staunton Spectator’ argues that the South slave masters are the most confident and peaceful individuals in the presence of the peculiar institution of slavery</w:t>
      </w:r>
      <w:r w:rsidR="00EE7669">
        <w:rPr>
          <w:rStyle w:val="FootnoteReference"/>
          <w:rFonts w:ascii="Times New Roman" w:hAnsi="Times New Roman" w:cs="Times New Roman"/>
          <w:sz w:val="24"/>
          <w:szCs w:val="24"/>
        </w:rPr>
        <w:footnoteReference w:id="3"/>
      </w:r>
      <w:r w:rsidRPr="008472A6">
        <w:rPr>
          <w:rFonts w:ascii="Times New Roman" w:hAnsi="Times New Roman" w:cs="Times New Roman"/>
          <w:sz w:val="24"/>
          <w:szCs w:val="24"/>
        </w:rPr>
        <w:t xml:space="preserve">. The article refutes claims by the North fanatics regarding the expected war that will be initiated by resistive slaves fighting for their freedom. The author of the article presents three scenarios as evidence to support the article’s thesis. Firstly, the South slave masters argue that they are the most protected living in an environment characterized by a strong attachment to the slaves depicted by their willing obedience. Additionally, the encounter with </w:t>
      </w:r>
      <w:proofErr w:type="spellStart"/>
      <w:proofErr w:type="gramStart"/>
      <w:r w:rsidRPr="008472A6">
        <w:rPr>
          <w:rFonts w:ascii="Times New Roman" w:hAnsi="Times New Roman" w:cs="Times New Roman"/>
          <w:sz w:val="24"/>
          <w:szCs w:val="24"/>
        </w:rPr>
        <w:t>negros</w:t>
      </w:r>
      <w:proofErr w:type="spellEnd"/>
      <w:proofErr w:type="gramEnd"/>
      <w:r w:rsidRPr="008472A6">
        <w:rPr>
          <w:rFonts w:ascii="Times New Roman" w:hAnsi="Times New Roman" w:cs="Times New Roman"/>
          <w:sz w:val="24"/>
          <w:szCs w:val="24"/>
        </w:rPr>
        <w:t xml:space="preserve"> who refused to arise to war during the Canaan of Deliverance was a clear indication of the satisfaction exhibited by slaves</w:t>
      </w:r>
      <w:r w:rsidR="00EE7669">
        <w:rPr>
          <w:rStyle w:val="FootnoteReference"/>
          <w:rFonts w:ascii="Times New Roman" w:hAnsi="Times New Roman" w:cs="Times New Roman"/>
          <w:sz w:val="24"/>
          <w:szCs w:val="24"/>
        </w:rPr>
        <w:footnoteReference w:id="4"/>
      </w:r>
      <w:r w:rsidRPr="008472A6">
        <w:rPr>
          <w:rFonts w:ascii="Times New Roman" w:hAnsi="Times New Roman" w:cs="Times New Roman"/>
          <w:sz w:val="24"/>
          <w:szCs w:val="24"/>
        </w:rPr>
        <w:t>. Lastly, the level of trust that the slaves have on their masters cannot be understated.</w:t>
      </w:r>
      <w:r w:rsidR="00383DEF" w:rsidRPr="008472A6">
        <w:rPr>
          <w:rFonts w:ascii="Times New Roman" w:hAnsi="Times New Roman" w:cs="Times New Roman"/>
          <w:sz w:val="24"/>
          <w:szCs w:val="24"/>
          <w:vertAlign w:val="superscript"/>
        </w:rPr>
        <w:t>3</w:t>
      </w:r>
      <w:r w:rsidRPr="008472A6">
        <w:rPr>
          <w:rFonts w:ascii="Times New Roman" w:hAnsi="Times New Roman" w:cs="Times New Roman"/>
          <w:sz w:val="24"/>
          <w:szCs w:val="24"/>
        </w:rPr>
        <w:t xml:space="preserve"> In the event of a war, the slaves leave behind their wives and children in the hands of their master to repair the Virginia borders. </w:t>
      </w:r>
    </w:p>
    <w:p w:rsidR="00601317" w:rsidRDefault="00083C2A" w:rsidP="00601317">
      <w:pPr>
        <w:spacing w:after="0" w:line="480" w:lineRule="auto"/>
        <w:ind w:firstLine="720"/>
        <w:contextualSpacing/>
        <w:rPr>
          <w:rFonts w:ascii="Times New Roman" w:hAnsi="Times New Roman" w:cs="Times New Roman"/>
          <w:sz w:val="24"/>
          <w:szCs w:val="24"/>
        </w:rPr>
      </w:pPr>
      <w:r w:rsidRPr="008472A6">
        <w:rPr>
          <w:rFonts w:ascii="Times New Roman" w:hAnsi="Times New Roman" w:cs="Times New Roman"/>
          <w:sz w:val="24"/>
          <w:szCs w:val="24"/>
        </w:rPr>
        <w:t>By a different token, Douglass refutes that the institution of slavery was God ordained and argues that it is a system of iniquity that dislikes any form of light. Douglass presents his case with supporting evidence of instances that depict slavery as a system that promotes wrongs and sufferings. The life experience of Douglas is the first example that demonstrates the negative repercussions of slavery. The anti-slavery icon argues that before he obtained his freedom, he was deprived of his who</w:t>
      </w:r>
      <w:r w:rsidR="00EE7669">
        <w:rPr>
          <w:rFonts w:ascii="Times New Roman" w:hAnsi="Times New Roman" w:cs="Times New Roman"/>
          <w:sz w:val="24"/>
          <w:szCs w:val="24"/>
        </w:rPr>
        <w:t>le self from the body to spirit</w:t>
      </w:r>
      <w:r w:rsidRPr="008472A6">
        <w:rPr>
          <w:rFonts w:ascii="Times New Roman" w:hAnsi="Times New Roman" w:cs="Times New Roman"/>
          <w:sz w:val="24"/>
          <w:szCs w:val="24"/>
        </w:rPr>
        <w:t xml:space="preserve"> As a </w:t>
      </w:r>
      <w:r w:rsidR="00EA0086" w:rsidRPr="008472A6">
        <w:rPr>
          <w:rFonts w:ascii="Times New Roman" w:hAnsi="Times New Roman" w:cs="Times New Roman"/>
          <w:sz w:val="24"/>
          <w:szCs w:val="24"/>
        </w:rPr>
        <w:t>result;</w:t>
      </w:r>
      <w:r w:rsidRPr="008472A6">
        <w:rPr>
          <w:rFonts w:ascii="Times New Roman" w:hAnsi="Times New Roman" w:cs="Times New Roman"/>
          <w:sz w:val="24"/>
          <w:szCs w:val="24"/>
        </w:rPr>
        <w:t xml:space="preserve"> he got motivated to analyze and spread the light among others within the society. Douglas argued that the relationship between the master and slave as evil based on actions such as governing the slaves who will marry each other, the period of the covenant, the fo</w:t>
      </w:r>
      <w:r w:rsidR="00EE7669">
        <w:rPr>
          <w:rFonts w:ascii="Times New Roman" w:hAnsi="Times New Roman" w:cs="Times New Roman"/>
          <w:sz w:val="24"/>
          <w:szCs w:val="24"/>
        </w:rPr>
        <w:t>od they eat and when they speak</w:t>
      </w:r>
      <w:r w:rsidR="00EE7669">
        <w:rPr>
          <w:rStyle w:val="FootnoteReference"/>
          <w:rFonts w:ascii="Times New Roman" w:hAnsi="Times New Roman" w:cs="Times New Roman"/>
          <w:sz w:val="24"/>
          <w:szCs w:val="24"/>
        </w:rPr>
        <w:footnoteReference w:id="5"/>
      </w:r>
      <w:r w:rsidRPr="008472A6">
        <w:rPr>
          <w:rFonts w:ascii="Times New Roman" w:hAnsi="Times New Roman" w:cs="Times New Roman"/>
          <w:sz w:val="24"/>
          <w:szCs w:val="24"/>
        </w:rPr>
        <w:t xml:space="preserve"> </w:t>
      </w:r>
      <w:r w:rsidRPr="008472A6">
        <w:rPr>
          <w:rFonts w:ascii="Times New Roman" w:hAnsi="Times New Roman" w:cs="Times New Roman"/>
          <w:sz w:val="24"/>
          <w:szCs w:val="24"/>
        </w:rPr>
        <w:lastRenderedPageBreak/>
        <w:t>Additionally, the cruel punishments slaves endure as a result of hellish laws ought not to be practiced</w:t>
      </w:r>
      <w:r w:rsidR="00EE7669">
        <w:rPr>
          <w:rFonts w:ascii="Times New Roman" w:hAnsi="Times New Roman" w:cs="Times New Roman"/>
          <w:sz w:val="24"/>
          <w:szCs w:val="24"/>
        </w:rPr>
        <w:t xml:space="preserve"> in Christian-dominated states.</w:t>
      </w:r>
    </w:p>
    <w:p w:rsidR="00601317" w:rsidRDefault="00EA0086" w:rsidP="00601317">
      <w:pPr>
        <w:spacing w:after="0" w:line="480" w:lineRule="auto"/>
        <w:ind w:firstLine="720"/>
        <w:contextualSpacing/>
        <w:rPr>
          <w:rFonts w:ascii="Times New Roman" w:hAnsi="Times New Roman" w:cs="Times New Roman"/>
          <w:sz w:val="24"/>
          <w:szCs w:val="24"/>
        </w:rPr>
      </w:pPr>
      <w:r w:rsidRPr="008472A6">
        <w:rPr>
          <w:rFonts w:ascii="Times New Roman" w:hAnsi="Times New Roman" w:cs="Times New Roman"/>
          <w:sz w:val="24"/>
          <w:szCs w:val="24"/>
        </w:rPr>
        <w:t>Helper further applauds Douglas voice against slavery by taking a two-way approach in addressing the controversy that arises with slavery. The author of ‘The Impending Crisis’ discredits claims that slaves are better positioned in the South than the North. The first approach that supports the anti-slavery assertions targets non-slaveholders of the South by shedding light on them on matters of slavery by exposing its pervasive ill factors</w:t>
      </w:r>
      <w:r>
        <w:rPr>
          <w:rStyle w:val="FootnoteReference"/>
          <w:rFonts w:ascii="Times New Roman" w:hAnsi="Times New Roman" w:cs="Times New Roman"/>
          <w:sz w:val="24"/>
          <w:szCs w:val="24"/>
        </w:rPr>
        <w:footnoteReference w:id="6"/>
      </w:r>
      <w:r>
        <w:rPr>
          <w:rFonts w:ascii="Times New Roman" w:hAnsi="Times New Roman" w:cs="Times New Roman"/>
          <w:sz w:val="24"/>
          <w:szCs w:val="24"/>
        </w:rPr>
        <w:t xml:space="preserve">. </w:t>
      </w:r>
      <w:r w:rsidRPr="008472A6">
        <w:rPr>
          <w:rFonts w:ascii="Times New Roman" w:hAnsi="Times New Roman" w:cs="Times New Roman"/>
          <w:sz w:val="24"/>
          <w:szCs w:val="24"/>
        </w:rPr>
        <w:t>Additionally, Helper further addresses the slaveholders in the South regarding the demerits of slave labor. Helper takes the slaveholders through a critical analysis of the economic state of both the South and the North. The analysis presents evidence pointing to the rising levels of poverty in the South in comparison to the North</w:t>
      </w:r>
      <w:r>
        <w:rPr>
          <w:rStyle w:val="FootnoteReference"/>
          <w:rFonts w:ascii="Times New Roman" w:hAnsi="Times New Roman" w:cs="Times New Roman"/>
          <w:sz w:val="24"/>
          <w:szCs w:val="24"/>
        </w:rPr>
        <w:footnoteReference w:id="7"/>
      </w:r>
      <w:r>
        <w:rPr>
          <w:rFonts w:ascii="Times New Roman" w:hAnsi="Times New Roman" w:cs="Times New Roman"/>
          <w:sz w:val="24"/>
          <w:szCs w:val="24"/>
        </w:rPr>
        <w:t xml:space="preserve">. </w:t>
      </w:r>
      <w:r>
        <w:rPr>
          <w:rFonts w:ascii="Times New Roman" w:hAnsi="Times New Roman" w:cs="Times New Roman"/>
          <w:sz w:val="24"/>
          <w:szCs w:val="24"/>
        </w:rPr>
        <w:t>T</w:t>
      </w:r>
      <w:r w:rsidRPr="008472A6">
        <w:rPr>
          <w:rFonts w:ascii="Times New Roman" w:hAnsi="Times New Roman" w:cs="Times New Roman"/>
          <w:sz w:val="24"/>
          <w:szCs w:val="24"/>
        </w:rPr>
        <w:t>his is an illustration that free labor is much profitable and productive than slave labor.</w:t>
      </w:r>
    </w:p>
    <w:p w:rsidR="00EA0086" w:rsidRDefault="00EA0086" w:rsidP="00601317">
      <w:pPr>
        <w:spacing w:after="0" w:line="480" w:lineRule="auto"/>
        <w:ind w:firstLine="720"/>
        <w:contextualSpacing/>
        <w:rPr>
          <w:rFonts w:ascii="Times New Roman" w:hAnsi="Times New Roman" w:cs="Times New Roman"/>
          <w:sz w:val="24"/>
          <w:szCs w:val="24"/>
        </w:rPr>
      </w:pPr>
      <w:bookmarkStart w:id="0" w:name="_GoBack"/>
      <w:bookmarkEnd w:id="0"/>
      <w:r w:rsidRPr="008472A6">
        <w:rPr>
          <w:rFonts w:ascii="Times New Roman" w:hAnsi="Times New Roman" w:cs="Times New Roman"/>
          <w:sz w:val="24"/>
          <w:szCs w:val="24"/>
        </w:rPr>
        <w:t xml:space="preserve">Conclusively, an analysis of the four articles sheds light into slavery an aspect that predates historical times and played a critical role in shaping the economies of the states that embraced it. Slavery dominates the world of both the black and white men as the master’s freedom is denied by the necessity to </w:t>
      </w:r>
      <w:r w:rsidRPr="008472A6">
        <w:rPr>
          <w:rFonts w:ascii="Times New Roman" w:hAnsi="Times New Roman" w:cs="Times New Roman"/>
          <w:sz w:val="24"/>
          <w:szCs w:val="24"/>
        </w:rPr>
        <w:t>labor;</w:t>
      </w:r>
      <w:r w:rsidRPr="008472A6">
        <w:rPr>
          <w:rFonts w:ascii="Times New Roman" w:hAnsi="Times New Roman" w:cs="Times New Roman"/>
          <w:sz w:val="24"/>
          <w:szCs w:val="24"/>
        </w:rPr>
        <w:t xml:space="preserve"> the ripple effects are on the blacks who are confined to work in the fields. As a result,</w:t>
      </w:r>
      <w:r>
        <w:rPr>
          <w:rFonts w:ascii="Times New Roman" w:hAnsi="Times New Roman" w:cs="Times New Roman"/>
          <w:sz w:val="24"/>
          <w:szCs w:val="24"/>
        </w:rPr>
        <w:t xml:space="preserve"> the debate over slavery </w:t>
      </w:r>
      <w:proofErr w:type="gramStart"/>
      <w:r>
        <w:rPr>
          <w:rFonts w:ascii="Times New Roman" w:hAnsi="Times New Roman" w:cs="Times New Roman"/>
          <w:sz w:val="24"/>
          <w:szCs w:val="24"/>
        </w:rPr>
        <w:t>arose</w:t>
      </w:r>
      <w:proofErr w:type="gramEnd"/>
      <w:r>
        <w:rPr>
          <w:rFonts w:ascii="Times New Roman" w:hAnsi="Times New Roman" w:cs="Times New Roman"/>
          <w:sz w:val="24"/>
          <w:szCs w:val="24"/>
        </w:rPr>
        <w:t xml:space="preserve"> </w:t>
      </w:r>
      <w:r w:rsidRPr="008472A6">
        <w:rPr>
          <w:rFonts w:ascii="Times New Roman" w:hAnsi="Times New Roman" w:cs="Times New Roman"/>
          <w:sz w:val="24"/>
          <w:szCs w:val="24"/>
        </w:rPr>
        <w:t xml:space="preserve">attracting opinions from both proponents and opponents. The proslavery articles argue that slavery was ordained in Heaven; therefore, in any contest, the slave institution would emerge as conquerors. Additionally, freedom is only obtained after recognizing God’s cheerful acquiesces regardless of complexion. In contrast, the anti-slavery activists argue that the cruel acts of slavery are hellish and are not </w:t>
      </w:r>
      <w:r w:rsidRPr="008472A6">
        <w:rPr>
          <w:rFonts w:ascii="Times New Roman" w:hAnsi="Times New Roman" w:cs="Times New Roman"/>
          <w:sz w:val="24"/>
          <w:szCs w:val="24"/>
        </w:rPr>
        <w:lastRenderedPageBreak/>
        <w:t>worth to be practiced in Christian-dominated states. Additionally, the opponents argue that slavery results in economic decline.</w:t>
      </w:r>
    </w:p>
    <w:p w:rsidR="00EA0086" w:rsidRDefault="00EA0086" w:rsidP="00EA008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EA0086" w:rsidRDefault="00EA0086" w:rsidP="00EA008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Bibliography</w:t>
      </w:r>
    </w:p>
    <w:p w:rsidR="00EA0086" w:rsidRPr="00D07665" w:rsidRDefault="00EA0086" w:rsidP="00EA0086">
      <w:pPr>
        <w:spacing w:line="480" w:lineRule="auto"/>
        <w:rPr>
          <w:rFonts w:ascii="Times New Roman" w:hAnsi="Times New Roman" w:cs="Times New Roman"/>
          <w:sz w:val="24"/>
          <w:szCs w:val="24"/>
        </w:rPr>
      </w:pPr>
      <w:r w:rsidRPr="00D07665">
        <w:rPr>
          <w:rFonts w:ascii="Times New Roman" w:hAnsi="Times New Roman" w:cs="Times New Roman"/>
          <w:sz w:val="24"/>
          <w:szCs w:val="24"/>
        </w:rPr>
        <w:t>“The Spectator.” Exploring U.S. History, 2, c. 1 (1859): 1-2</w:t>
      </w:r>
      <w:r>
        <w:rPr>
          <w:rFonts w:ascii="Times New Roman" w:hAnsi="Times New Roman" w:cs="Times New Roman"/>
          <w:sz w:val="24"/>
          <w:szCs w:val="24"/>
        </w:rPr>
        <w:t>.</w:t>
      </w:r>
    </w:p>
    <w:p w:rsidR="00EA0086" w:rsidRPr="00D07665" w:rsidRDefault="00EA0086" w:rsidP="00EA0086">
      <w:pPr>
        <w:spacing w:line="480" w:lineRule="auto"/>
        <w:rPr>
          <w:rFonts w:ascii="Times New Roman" w:hAnsi="Times New Roman" w:cs="Times New Roman"/>
          <w:sz w:val="24"/>
          <w:szCs w:val="24"/>
        </w:rPr>
      </w:pPr>
      <w:r w:rsidRPr="00D07665">
        <w:rPr>
          <w:rFonts w:ascii="Times New Roman" w:hAnsi="Times New Roman" w:cs="Times New Roman"/>
          <w:sz w:val="24"/>
          <w:szCs w:val="24"/>
        </w:rPr>
        <w:t xml:space="preserve"> “The Staunton Spectator.” Exploring U.S. History, 2, c. 2 (1859): 1-2</w:t>
      </w:r>
      <w:r>
        <w:rPr>
          <w:rFonts w:ascii="Times New Roman" w:hAnsi="Times New Roman" w:cs="Times New Roman"/>
          <w:sz w:val="24"/>
          <w:szCs w:val="24"/>
        </w:rPr>
        <w:t>.</w:t>
      </w:r>
    </w:p>
    <w:p w:rsidR="00EA0086" w:rsidRPr="00D07665" w:rsidRDefault="00EA0086" w:rsidP="00EA0086">
      <w:pPr>
        <w:spacing w:line="480" w:lineRule="auto"/>
        <w:rPr>
          <w:rFonts w:ascii="Times New Roman" w:hAnsi="Times New Roman" w:cs="Times New Roman"/>
          <w:sz w:val="24"/>
          <w:szCs w:val="24"/>
        </w:rPr>
      </w:pPr>
      <w:r w:rsidRPr="00D07665">
        <w:rPr>
          <w:rFonts w:ascii="Times New Roman" w:hAnsi="Times New Roman" w:cs="Times New Roman"/>
          <w:sz w:val="24"/>
          <w:szCs w:val="24"/>
        </w:rPr>
        <w:t xml:space="preserve">Douglass Fredrick, “I Am Here to Spread Light on American Slavery: An address Delivered in </w:t>
      </w:r>
      <w:r>
        <w:rPr>
          <w:rFonts w:ascii="Times New Roman" w:hAnsi="Times New Roman" w:cs="Times New Roman"/>
          <w:sz w:val="24"/>
          <w:szCs w:val="24"/>
        </w:rPr>
        <w:tab/>
      </w:r>
      <w:r w:rsidRPr="00D07665">
        <w:rPr>
          <w:rFonts w:ascii="Times New Roman" w:hAnsi="Times New Roman" w:cs="Times New Roman"/>
          <w:sz w:val="24"/>
          <w:szCs w:val="24"/>
        </w:rPr>
        <w:t>Cork, Ireland, on 14 October 1845.” Speech, 1-4.</w:t>
      </w:r>
    </w:p>
    <w:p w:rsidR="00EA0086" w:rsidRPr="00D07665" w:rsidRDefault="00EA0086" w:rsidP="00EA0086">
      <w:pPr>
        <w:spacing w:line="480" w:lineRule="auto"/>
        <w:rPr>
          <w:rFonts w:ascii="Times New Roman" w:hAnsi="Times New Roman" w:cs="Times New Roman"/>
          <w:sz w:val="24"/>
          <w:szCs w:val="24"/>
        </w:rPr>
      </w:pPr>
      <w:r w:rsidRPr="00D07665">
        <w:rPr>
          <w:rFonts w:ascii="Times New Roman" w:hAnsi="Times New Roman" w:cs="Times New Roman"/>
          <w:sz w:val="24"/>
          <w:szCs w:val="24"/>
        </w:rPr>
        <w:t>Helper Hinton, “The Impending Crisis,” Exploring U.S. History, 1860, 25-27.</w:t>
      </w:r>
    </w:p>
    <w:p w:rsidR="00EA0086" w:rsidRPr="008472A6" w:rsidRDefault="00EA0086" w:rsidP="00EA0086">
      <w:pPr>
        <w:spacing w:line="480" w:lineRule="auto"/>
        <w:rPr>
          <w:rFonts w:ascii="Times New Roman" w:hAnsi="Times New Roman" w:cs="Times New Roman"/>
          <w:sz w:val="24"/>
          <w:szCs w:val="24"/>
        </w:rPr>
      </w:pPr>
    </w:p>
    <w:p w:rsidR="00EA0086" w:rsidRDefault="00EA0086" w:rsidP="00EA0086">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EE7669" w:rsidRDefault="00EE7669" w:rsidP="008472A6">
      <w:pPr>
        <w:spacing w:line="480" w:lineRule="auto"/>
        <w:rPr>
          <w:rFonts w:ascii="Times New Roman" w:hAnsi="Times New Roman" w:cs="Times New Roman"/>
          <w:sz w:val="24"/>
          <w:szCs w:val="24"/>
        </w:rPr>
        <w:sectPr w:rsidR="00EE7669">
          <w:footerReference w:type="default" r:id="rId9"/>
          <w:pgSz w:w="12240" w:h="15840"/>
          <w:pgMar w:top="1440" w:right="1440" w:bottom="1440" w:left="1440" w:header="720" w:footer="720" w:gutter="0"/>
          <w:cols w:space="720"/>
          <w:docGrid w:linePitch="360"/>
        </w:sectPr>
      </w:pPr>
    </w:p>
    <w:p w:rsidR="00A24E26" w:rsidRDefault="00A24E26" w:rsidP="008472A6">
      <w:pPr>
        <w:spacing w:line="480" w:lineRule="auto"/>
        <w:rPr>
          <w:rFonts w:ascii="Times New Roman" w:hAnsi="Times New Roman" w:cs="Times New Roman"/>
          <w:sz w:val="24"/>
          <w:szCs w:val="24"/>
        </w:rPr>
        <w:sectPr w:rsidR="00A24E26">
          <w:footerReference w:type="default" r:id="rId10"/>
          <w:pgSz w:w="12240" w:h="15840"/>
          <w:pgMar w:top="1440" w:right="1440" w:bottom="1440" w:left="1440" w:header="720" w:footer="720" w:gutter="0"/>
          <w:cols w:space="720"/>
          <w:docGrid w:linePitch="360"/>
        </w:sectPr>
      </w:pPr>
    </w:p>
    <w:p w:rsidR="0055221D" w:rsidRPr="008472A6" w:rsidRDefault="0055221D" w:rsidP="00EA0086">
      <w:pPr>
        <w:spacing w:line="480" w:lineRule="auto"/>
        <w:jc w:val="center"/>
        <w:rPr>
          <w:rFonts w:ascii="Times New Roman" w:hAnsi="Times New Roman" w:cs="Times New Roman"/>
          <w:sz w:val="24"/>
          <w:szCs w:val="24"/>
        </w:rPr>
      </w:pPr>
    </w:p>
    <w:sectPr w:rsidR="0055221D" w:rsidRPr="008472A6">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0994" w:rsidRDefault="006B0994" w:rsidP="00CB3D30">
      <w:pPr>
        <w:spacing w:after="0" w:line="240" w:lineRule="auto"/>
      </w:pPr>
      <w:r>
        <w:separator/>
      </w:r>
    </w:p>
  </w:endnote>
  <w:endnote w:type="continuationSeparator" w:id="0">
    <w:p w:rsidR="006B0994" w:rsidRDefault="006B0994" w:rsidP="00CB3D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1ED8" w:rsidRDefault="00E31ED8" w:rsidP="00E31ED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1ED8" w:rsidRDefault="00E31ED8" w:rsidP="00A24E2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E26" w:rsidRDefault="00A24E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0994" w:rsidRDefault="006B0994" w:rsidP="00CB3D30">
      <w:pPr>
        <w:spacing w:after="0" w:line="240" w:lineRule="auto"/>
      </w:pPr>
      <w:r>
        <w:separator/>
      </w:r>
    </w:p>
  </w:footnote>
  <w:footnote w:type="continuationSeparator" w:id="0">
    <w:p w:rsidR="006B0994" w:rsidRDefault="006B0994" w:rsidP="00CB3D30">
      <w:pPr>
        <w:spacing w:after="0" w:line="240" w:lineRule="auto"/>
      </w:pPr>
      <w:r>
        <w:continuationSeparator/>
      </w:r>
    </w:p>
  </w:footnote>
  <w:footnote w:id="1">
    <w:p w:rsidR="00EE7669" w:rsidRPr="00EE7669" w:rsidRDefault="00EE7669" w:rsidP="00EA0086">
      <w:pPr>
        <w:pStyle w:val="Footer"/>
        <w:contextualSpacing/>
        <w:rPr>
          <w:rFonts w:ascii="Times New Roman" w:hAnsi="Times New Roman" w:cs="Times New Roman"/>
          <w:sz w:val="20"/>
          <w:szCs w:val="20"/>
        </w:rPr>
      </w:pPr>
      <w:r w:rsidRPr="00EE7669">
        <w:rPr>
          <w:rFonts w:ascii="Times New Roman" w:hAnsi="Times New Roman" w:cs="Times New Roman"/>
          <w:sz w:val="20"/>
          <w:szCs w:val="20"/>
          <w:vertAlign w:val="superscript"/>
        </w:rPr>
        <w:t xml:space="preserve">1 </w:t>
      </w:r>
      <w:r w:rsidRPr="00EE7669">
        <w:rPr>
          <w:rFonts w:ascii="Times New Roman" w:hAnsi="Times New Roman" w:cs="Times New Roman"/>
          <w:sz w:val="20"/>
          <w:szCs w:val="20"/>
        </w:rPr>
        <w:t>“The Spectator.” Exploring U.S. History, 2, c. 1 (1859): 1</w:t>
      </w:r>
    </w:p>
  </w:footnote>
  <w:footnote w:id="2">
    <w:p w:rsidR="00EE7669" w:rsidRPr="00EE7669" w:rsidRDefault="00EE7669" w:rsidP="00EE7669">
      <w:pPr>
        <w:pStyle w:val="Footer"/>
        <w:contextualSpacing/>
        <w:rPr>
          <w:rFonts w:ascii="Times New Roman" w:hAnsi="Times New Roman" w:cs="Times New Roman"/>
          <w:sz w:val="20"/>
          <w:szCs w:val="20"/>
        </w:rPr>
      </w:pPr>
      <w:r w:rsidRPr="00EE7669">
        <w:rPr>
          <w:rFonts w:ascii="Times New Roman" w:hAnsi="Times New Roman" w:cs="Times New Roman"/>
          <w:sz w:val="20"/>
          <w:szCs w:val="20"/>
          <w:vertAlign w:val="superscript"/>
        </w:rPr>
        <w:t xml:space="preserve">2 </w:t>
      </w:r>
      <w:r w:rsidRPr="00EE7669">
        <w:rPr>
          <w:rFonts w:ascii="Times New Roman" w:hAnsi="Times New Roman" w:cs="Times New Roman"/>
          <w:sz w:val="20"/>
          <w:szCs w:val="20"/>
        </w:rPr>
        <w:t>“The Spectator.” Exploring U.S. History, 1</w:t>
      </w:r>
    </w:p>
    <w:p w:rsidR="00EE7669" w:rsidRDefault="00EE7669">
      <w:pPr>
        <w:pStyle w:val="FootnoteText"/>
      </w:pPr>
    </w:p>
  </w:footnote>
  <w:footnote w:id="3">
    <w:p w:rsidR="00EE7669" w:rsidRPr="00EE7669" w:rsidRDefault="00EE7669" w:rsidP="00EE7669">
      <w:pPr>
        <w:pStyle w:val="Footer"/>
        <w:rPr>
          <w:rFonts w:ascii="Times New Roman" w:hAnsi="Times New Roman" w:cs="Times New Roman"/>
          <w:sz w:val="20"/>
          <w:szCs w:val="20"/>
        </w:rPr>
      </w:pPr>
      <w:r w:rsidRPr="00EE7669">
        <w:rPr>
          <w:rFonts w:ascii="Times New Roman" w:hAnsi="Times New Roman" w:cs="Times New Roman"/>
          <w:sz w:val="20"/>
          <w:szCs w:val="20"/>
          <w:vertAlign w:val="superscript"/>
        </w:rPr>
        <w:t xml:space="preserve">3 </w:t>
      </w:r>
      <w:r w:rsidRPr="00EE7669">
        <w:rPr>
          <w:rFonts w:ascii="Times New Roman" w:hAnsi="Times New Roman" w:cs="Times New Roman"/>
          <w:sz w:val="20"/>
          <w:szCs w:val="20"/>
        </w:rPr>
        <w:t>“The Staunton Spectator.” Exploring U.S. History, 2, c. 2 (1859): 1</w:t>
      </w:r>
    </w:p>
  </w:footnote>
  <w:footnote w:id="4">
    <w:p w:rsidR="00EE7669" w:rsidRPr="00EE7669" w:rsidRDefault="00EE7669">
      <w:pPr>
        <w:pStyle w:val="FootnoteText"/>
        <w:rPr>
          <w:rFonts w:ascii="Times New Roman" w:hAnsi="Times New Roman" w:cs="Times New Roman"/>
        </w:rPr>
      </w:pPr>
      <w:r w:rsidRPr="00EE7669">
        <w:rPr>
          <w:rStyle w:val="FootnoteReference"/>
          <w:rFonts w:ascii="Times New Roman" w:hAnsi="Times New Roman" w:cs="Times New Roman"/>
        </w:rPr>
        <w:footnoteRef/>
      </w:r>
      <w:r w:rsidRPr="00EE7669">
        <w:rPr>
          <w:rFonts w:ascii="Times New Roman" w:hAnsi="Times New Roman" w:cs="Times New Roman"/>
        </w:rPr>
        <w:t xml:space="preserve"> </w:t>
      </w:r>
      <w:r w:rsidRPr="00EE7669">
        <w:rPr>
          <w:rFonts w:ascii="Times New Roman" w:hAnsi="Times New Roman" w:cs="Times New Roman"/>
        </w:rPr>
        <w:t>Douglass Fredrick, “I Am Here to Spread Light on American Slavery: An address Delivered in Cork, Ireland, on 14 October 1845.” Speech, 1.</w:t>
      </w:r>
    </w:p>
  </w:footnote>
  <w:footnote w:id="5">
    <w:p w:rsidR="00EE7669" w:rsidRPr="00EE7669" w:rsidRDefault="00EE7669" w:rsidP="00EE7669">
      <w:pPr>
        <w:pStyle w:val="Footer"/>
        <w:rPr>
          <w:rFonts w:ascii="Times New Roman" w:hAnsi="Times New Roman" w:cs="Times New Roman"/>
          <w:sz w:val="20"/>
          <w:szCs w:val="20"/>
        </w:rPr>
      </w:pPr>
      <w:r w:rsidRPr="00EE7669">
        <w:rPr>
          <w:rFonts w:ascii="Times New Roman" w:hAnsi="Times New Roman" w:cs="Times New Roman"/>
          <w:sz w:val="20"/>
          <w:szCs w:val="20"/>
          <w:vertAlign w:val="superscript"/>
        </w:rPr>
        <w:t xml:space="preserve">5 </w:t>
      </w:r>
      <w:r w:rsidRPr="00EE7669">
        <w:rPr>
          <w:rFonts w:ascii="Times New Roman" w:hAnsi="Times New Roman" w:cs="Times New Roman"/>
          <w:sz w:val="20"/>
          <w:szCs w:val="20"/>
        </w:rPr>
        <w:t>Douglass Fredrick, Speech, 2.</w:t>
      </w:r>
    </w:p>
    <w:p w:rsidR="00EE7669" w:rsidRDefault="00EE7669">
      <w:pPr>
        <w:pStyle w:val="FootnoteText"/>
      </w:pPr>
    </w:p>
  </w:footnote>
  <w:footnote w:id="6">
    <w:p w:rsidR="00EA0086" w:rsidRPr="00EA0086" w:rsidRDefault="00EA0086" w:rsidP="00EA0086">
      <w:pPr>
        <w:pStyle w:val="Footer"/>
        <w:contextualSpacing/>
        <w:rPr>
          <w:rFonts w:ascii="Times New Roman" w:hAnsi="Times New Roman" w:cs="Times New Roman"/>
          <w:sz w:val="20"/>
          <w:szCs w:val="20"/>
        </w:rPr>
      </w:pPr>
      <w:r w:rsidRPr="00EA0086">
        <w:rPr>
          <w:rFonts w:ascii="Times New Roman" w:hAnsi="Times New Roman" w:cs="Times New Roman"/>
          <w:sz w:val="20"/>
          <w:szCs w:val="20"/>
          <w:vertAlign w:val="superscript"/>
        </w:rPr>
        <w:t xml:space="preserve">6 </w:t>
      </w:r>
      <w:r w:rsidRPr="00EA0086">
        <w:rPr>
          <w:rFonts w:ascii="Times New Roman" w:hAnsi="Times New Roman" w:cs="Times New Roman"/>
          <w:sz w:val="20"/>
          <w:szCs w:val="20"/>
        </w:rPr>
        <w:t>Helper Hinton, “The Impending Crisis,” Exploring U.S. History, 1860, 25.</w:t>
      </w:r>
    </w:p>
  </w:footnote>
  <w:footnote w:id="7">
    <w:p w:rsidR="00EA0086" w:rsidRDefault="00EA0086">
      <w:pPr>
        <w:pStyle w:val="FootnoteText"/>
        <w:contextualSpacing/>
      </w:pPr>
      <w:r w:rsidRPr="00EA0086">
        <w:rPr>
          <w:rStyle w:val="FootnoteReference"/>
          <w:rFonts w:ascii="Times New Roman" w:hAnsi="Times New Roman" w:cs="Times New Roman"/>
        </w:rPr>
        <w:footnoteRef/>
      </w:r>
      <w:r w:rsidRPr="00EA0086">
        <w:rPr>
          <w:rFonts w:ascii="Times New Roman" w:hAnsi="Times New Roman" w:cs="Times New Roman"/>
        </w:rPr>
        <w:t xml:space="preserve"> </w:t>
      </w:r>
      <w:r w:rsidRPr="00EA0086">
        <w:rPr>
          <w:rFonts w:ascii="Times New Roman" w:hAnsi="Times New Roman" w:cs="Times New Roman"/>
        </w:rPr>
        <w:t>Helper Hinton, “The Impending Crisis,” Exploring U.S. History, 27.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20910261"/>
      <w:docPartObj>
        <w:docPartGallery w:val="Page Numbers (Top of Page)"/>
        <w:docPartUnique/>
      </w:docPartObj>
    </w:sdtPr>
    <w:sdtEndPr>
      <w:rPr>
        <w:noProof/>
      </w:rPr>
    </w:sdtEndPr>
    <w:sdtContent>
      <w:p w:rsidR="000347FC" w:rsidRPr="000347FC" w:rsidRDefault="000347FC">
        <w:pPr>
          <w:pStyle w:val="Header"/>
          <w:jc w:val="right"/>
          <w:rPr>
            <w:rFonts w:ascii="Times New Roman" w:hAnsi="Times New Roman" w:cs="Times New Roman"/>
            <w:sz w:val="24"/>
            <w:szCs w:val="24"/>
          </w:rPr>
        </w:pPr>
        <w:r w:rsidRPr="000347FC">
          <w:rPr>
            <w:rFonts w:ascii="Times New Roman" w:hAnsi="Times New Roman" w:cs="Times New Roman"/>
            <w:sz w:val="24"/>
            <w:szCs w:val="24"/>
          </w:rPr>
          <w:fldChar w:fldCharType="begin"/>
        </w:r>
        <w:r w:rsidRPr="000347FC">
          <w:rPr>
            <w:rFonts w:ascii="Times New Roman" w:hAnsi="Times New Roman" w:cs="Times New Roman"/>
            <w:sz w:val="24"/>
            <w:szCs w:val="24"/>
          </w:rPr>
          <w:instrText xml:space="preserve"> PAGE   \* MERGEFORMAT </w:instrText>
        </w:r>
        <w:r w:rsidRPr="000347FC">
          <w:rPr>
            <w:rFonts w:ascii="Times New Roman" w:hAnsi="Times New Roman" w:cs="Times New Roman"/>
            <w:sz w:val="24"/>
            <w:szCs w:val="24"/>
          </w:rPr>
          <w:fldChar w:fldCharType="separate"/>
        </w:r>
        <w:r w:rsidR="00601317">
          <w:rPr>
            <w:rFonts w:ascii="Times New Roman" w:hAnsi="Times New Roman" w:cs="Times New Roman"/>
            <w:noProof/>
            <w:sz w:val="24"/>
            <w:szCs w:val="24"/>
          </w:rPr>
          <w:t>5</w:t>
        </w:r>
        <w:r w:rsidRPr="000347FC">
          <w:rPr>
            <w:rFonts w:ascii="Times New Roman" w:hAnsi="Times New Roman" w:cs="Times New Roman"/>
            <w:noProof/>
            <w:sz w:val="24"/>
            <w:szCs w:val="24"/>
          </w:rPr>
          <w:fldChar w:fldCharType="end"/>
        </w:r>
      </w:p>
    </w:sdtContent>
  </w:sdt>
  <w:p w:rsidR="000347FC" w:rsidRPr="000347FC" w:rsidRDefault="000347F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OxMLEwsLSwMDI2tTBV0lEKTi0uzszPAykwrAUAWqal4CwAAAA="/>
  </w:docVars>
  <w:rsids>
    <w:rsidRoot w:val="00637DC2"/>
    <w:rsid w:val="00007B51"/>
    <w:rsid w:val="000139DF"/>
    <w:rsid w:val="000347FC"/>
    <w:rsid w:val="00035A30"/>
    <w:rsid w:val="00052ED4"/>
    <w:rsid w:val="00060292"/>
    <w:rsid w:val="00083C2A"/>
    <w:rsid w:val="000A7CB9"/>
    <w:rsid w:val="000F64D0"/>
    <w:rsid w:val="00106182"/>
    <w:rsid w:val="001167D7"/>
    <w:rsid w:val="0015347C"/>
    <w:rsid w:val="0017014E"/>
    <w:rsid w:val="0017152A"/>
    <w:rsid w:val="001B6B4D"/>
    <w:rsid w:val="001E2CB4"/>
    <w:rsid w:val="00204689"/>
    <w:rsid w:val="0023325E"/>
    <w:rsid w:val="00247A50"/>
    <w:rsid w:val="002B2750"/>
    <w:rsid w:val="002B67FC"/>
    <w:rsid w:val="002F30BE"/>
    <w:rsid w:val="0030766E"/>
    <w:rsid w:val="00383DEF"/>
    <w:rsid w:val="003F5A20"/>
    <w:rsid w:val="00400EFC"/>
    <w:rsid w:val="004219D0"/>
    <w:rsid w:val="00441D39"/>
    <w:rsid w:val="004639B0"/>
    <w:rsid w:val="00465CDC"/>
    <w:rsid w:val="00471937"/>
    <w:rsid w:val="004C2B70"/>
    <w:rsid w:val="00516764"/>
    <w:rsid w:val="00542E00"/>
    <w:rsid w:val="0055221D"/>
    <w:rsid w:val="00552252"/>
    <w:rsid w:val="005919E9"/>
    <w:rsid w:val="005A694D"/>
    <w:rsid w:val="005B4E83"/>
    <w:rsid w:val="005B7702"/>
    <w:rsid w:val="005E5488"/>
    <w:rsid w:val="005F39F2"/>
    <w:rsid w:val="00601317"/>
    <w:rsid w:val="00631696"/>
    <w:rsid w:val="00637DC2"/>
    <w:rsid w:val="0064490D"/>
    <w:rsid w:val="00660E20"/>
    <w:rsid w:val="0069229C"/>
    <w:rsid w:val="006B0994"/>
    <w:rsid w:val="006E4519"/>
    <w:rsid w:val="00701596"/>
    <w:rsid w:val="00744631"/>
    <w:rsid w:val="00760E4A"/>
    <w:rsid w:val="0078494F"/>
    <w:rsid w:val="007B5831"/>
    <w:rsid w:val="007D6825"/>
    <w:rsid w:val="008141AA"/>
    <w:rsid w:val="0084060C"/>
    <w:rsid w:val="008472A6"/>
    <w:rsid w:val="008559C0"/>
    <w:rsid w:val="00857D3B"/>
    <w:rsid w:val="008614E4"/>
    <w:rsid w:val="00872DEC"/>
    <w:rsid w:val="00895918"/>
    <w:rsid w:val="00895E65"/>
    <w:rsid w:val="008B4964"/>
    <w:rsid w:val="008F46A2"/>
    <w:rsid w:val="00964724"/>
    <w:rsid w:val="009659B8"/>
    <w:rsid w:val="00992B59"/>
    <w:rsid w:val="009B2AE0"/>
    <w:rsid w:val="009C1A4E"/>
    <w:rsid w:val="009C7461"/>
    <w:rsid w:val="009E5484"/>
    <w:rsid w:val="00A24E26"/>
    <w:rsid w:val="00AD1913"/>
    <w:rsid w:val="00AF6383"/>
    <w:rsid w:val="00B06E2C"/>
    <w:rsid w:val="00B66615"/>
    <w:rsid w:val="00B846A4"/>
    <w:rsid w:val="00B97AD4"/>
    <w:rsid w:val="00BA545E"/>
    <w:rsid w:val="00BB51AE"/>
    <w:rsid w:val="00BE160E"/>
    <w:rsid w:val="00CA2CD3"/>
    <w:rsid w:val="00CB3D30"/>
    <w:rsid w:val="00CE3BE2"/>
    <w:rsid w:val="00CE58FB"/>
    <w:rsid w:val="00D04FFD"/>
    <w:rsid w:val="00D07665"/>
    <w:rsid w:val="00D648AD"/>
    <w:rsid w:val="00D73EE1"/>
    <w:rsid w:val="00D74484"/>
    <w:rsid w:val="00E113FB"/>
    <w:rsid w:val="00E31ED8"/>
    <w:rsid w:val="00E63C8C"/>
    <w:rsid w:val="00E915A1"/>
    <w:rsid w:val="00EA0086"/>
    <w:rsid w:val="00EC2ED2"/>
    <w:rsid w:val="00EC5B46"/>
    <w:rsid w:val="00ED72D7"/>
    <w:rsid w:val="00EE7669"/>
    <w:rsid w:val="00F20FB7"/>
    <w:rsid w:val="00F91036"/>
    <w:rsid w:val="00FF71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D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3D30"/>
  </w:style>
  <w:style w:type="paragraph" w:styleId="Footer">
    <w:name w:val="footer"/>
    <w:basedOn w:val="Normal"/>
    <w:link w:val="FooterChar"/>
    <w:uiPriority w:val="99"/>
    <w:unhideWhenUsed/>
    <w:rsid w:val="00CB3D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3D30"/>
  </w:style>
  <w:style w:type="paragraph" w:styleId="FootnoteText">
    <w:name w:val="footnote text"/>
    <w:basedOn w:val="Normal"/>
    <w:link w:val="FootnoteTextChar"/>
    <w:uiPriority w:val="99"/>
    <w:semiHidden/>
    <w:unhideWhenUsed/>
    <w:rsid w:val="00EE766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E7669"/>
    <w:rPr>
      <w:sz w:val="20"/>
      <w:szCs w:val="20"/>
    </w:rPr>
  </w:style>
  <w:style w:type="character" w:styleId="FootnoteReference">
    <w:name w:val="footnote reference"/>
    <w:basedOn w:val="DefaultParagraphFont"/>
    <w:uiPriority w:val="99"/>
    <w:semiHidden/>
    <w:unhideWhenUsed/>
    <w:rsid w:val="00EE766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D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3D30"/>
  </w:style>
  <w:style w:type="paragraph" w:styleId="Footer">
    <w:name w:val="footer"/>
    <w:basedOn w:val="Normal"/>
    <w:link w:val="FooterChar"/>
    <w:uiPriority w:val="99"/>
    <w:unhideWhenUsed/>
    <w:rsid w:val="00CB3D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3D30"/>
  </w:style>
  <w:style w:type="paragraph" w:styleId="FootnoteText">
    <w:name w:val="footnote text"/>
    <w:basedOn w:val="Normal"/>
    <w:link w:val="FootnoteTextChar"/>
    <w:uiPriority w:val="99"/>
    <w:semiHidden/>
    <w:unhideWhenUsed/>
    <w:rsid w:val="00EE766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E7669"/>
    <w:rPr>
      <w:sz w:val="20"/>
      <w:szCs w:val="20"/>
    </w:rPr>
  </w:style>
  <w:style w:type="character" w:styleId="FootnoteReference">
    <w:name w:val="footnote reference"/>
    <w:basedOn w:val="DefaultParagraphFont"/>
    <w:uiPriority w:val="99"/>
    <w:semiHidden/>
    <w:unhideWhenUsed/>
    <w:rsid w:val="00EE766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278A87-EB4A-473F-A5EC-E9BA52AA1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910</Words>
  <Characters>5192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2019-03-08T04:27:00Z</dcterms:created>
  <dcterms:modified xsi:type="dcterms:W3CDTF">2019-03-08T04:27:00Z</dcterms:modified>
</cp:coreProperties>
</file>