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5EE9F5" w14:textId="77777777" w:rsidR="00C25863" w:rsidRDefault="00C25863" w:rsidP="00C25863">
      <w:pPr>
        <w:pStyle w:val="NormalWeb"/>
        <w:spacing w:before="0" w:beforeAutospacing="0" w:after="0" w:afterAutospacing="0" w:line="480" w:lineRule="auto"/>
        <w:jc w:val="center"/>
        <w:rPr>
          <w:rStyle w:val="Strong"/>
          <w:color w:val="0E101A"/>
        </w:rPr>
      </w:pPr>
    </w:p>
    <w:p w14:paraId="25ABB896" w14:textId="77777777" w:rsidR="00C25863" w:rsidRDefault="00C25863" w:rsidP="00C25863">
      <w:pPr>
        <w:pStyle w:val="NormalWeb"/>
        <w:spacing w:before="0" w:beforeAutospacing="0" w:after="0" w:afterAutospacing="0" w:line="480" w:lineRule="auto"/>
        <w:jc w:val="center"/>
        <w:rPr>
          <w:rStyle w:val="Strong"/>
          <w:color w:val="0E101A"/>
        </w:rPr>
      </w:pPr>
    </w:p>
    <w:p w14:paraId="56A57AF9" w14:textId="77777777" w:rsidR="00C25863" w:rsidRDefault="00C25863" w:rsidP="00C25863">
      <w:pPr>
        <w:pStyle w:val="NormalWeb"/>
        <w:spacing w:before="0" w:beforeAutospacing="0" w:after="0" w:afterAutospacing="0" w:line="480" w:lineRule="auto"/>
        <w:jc w:val="center"/>
        <w:rPr>
          <w:rStyle w:val="Strong"/>
          <w:color w:val="0E101A"/>
        </w:rPr>
      </w:pPr>
    </w:p>
    <w:p w14:paraId="2B2CB783" w14:textId="77777777" w:rsidR="00C25863" w:rsidRDefault="00C25863" w:rsidP="00C25863">
      <w:pPr>
        <w:pStyle w:val="NormalWeb"/>
        <w:spacing w:before="0" w:beforeAutospacing="0" w:after="0" w:afterAutospacing="0" w:line="480" w:lineRule="auto"/>
        <w:jc w:val="center"/>
        <w:rPr>
          <w:rStyle w:val="Strong"/>
          <w:color w:val="0E101A"/>
        </w:rPr>
      </w:pPr>
    </w:p>
    <w:p w14:paraId="364F3A94" w14:textId="77777777" w:rsidR="00C25863" w:rsidRDefault="00C25863" w:rsidP="00C25863">
      <w:pPr>
        <w:pStyle w:val="NormalWeb"/>
        <w:spacing w:before="0" w:beforeAutospacing="0" w:after="0" w:afterAutospacing="0" w:line="480" w:lineRule="auto"/>
        <w:jc w:val="center"/>
        <w:rPr>
          <w:rStyle w:val="Strong"/>
          <w:color w:val="0E101A"/>
        </w:rPr>
      </w:pPr>
    </w:p>
    <w:p w14:paraId="07E41943" w14:textId="6D88DB3A" w:rsidR="00065C52" w:rsidRPr="00C25863" w:rsidRDefault="00065C52" w:rsidP="00C25863">
      <w:pPr>
        <w:pStyle w:val="NormalWeb"/>
        <w:spacing w:before="0" w:beforeAutospacing="0" w:after="0" w:afterAutospacing="0" w:line="480" w:lineRule="auto"/>
        <w:jc w:val="center"/>
        <w:rPr>
          <w:color w:val="0E101A"/>
        </w:rPr>
      </w:pPr>
      <w:r w:rsidRPr="00C25863">
        <w:rPr>
          <w:rStyle w:val="Strong"/>
          <w:color w:val="0E101A"/>
        </w:rPr>
        <w:t>Social</w:t>
      </w:r>
      <w:r w:rsidRPr="00C25863">
        <w:rPr>
          <w:rStyle w:val="Strong"/>
          <w:color w:val="0E101A"/>
        </w:rPr>
        <w:t xml:space="preserve"> Determinants of Health</w:t>
      </w:r>
    </w:p>
    <w:p w14:paraId="54A9CBEC" w14:textId="77777777" w:rsidR="00065C52" w:rsidRPr="00C25863" w:rsidRDefault="00065C52" w:rsidP="00C25863">
      <w:pPr>
        <w:pStyle w:val="NormalWeb"/>
        <w:spacing w:before="0" w:beforeAutospacing="0" w:after="0" w:afterAutospacing="0" w:line="480" w:lineRule="auto"/>
        <w:jc w:val="center"/>
        <w:rPr>
          <w:color w:val="0E101A"/>
        </w:rPr>
      </w:pPr>
    </w:p>
    <w:p w14:paraId="1100F980" w14:textId="77777777" w:rsidR="00065C52" w:rsidRPr="00C25863" w:rsidRDefault="00065C52" w:rsidP="00C25863">
      <w:pPr>
        <w:pStyle w:val="NormalWeb"/>
        <w:spacing w:before="0" w:beforeAutospacing="0" w:after="0" w:afterAutospacing="0" w:line="480" w:lineRule="auto"/>
        <w:jc w:val="center"/>
        <w:rPr>
          <w:color w:val="0E101A"/>
        </w:rPr>
      </w:pPr>
      <w:r w:rsidRPr="00C25863">
        <w:rPr>
          <w:rStyle w:val="Strong"/>
          <w:rFonts w:ascii="Tahoma" w:hAnsi="Tahoma" w:cs="Tahoma"/>
          <w:color w:val="0E101A"/>
        </w:rPr>
        <w:t>﻿</w:t>
      </w:r>
    </w:p>
    <w:p w14:paraId="6D705207" w14:textId="77777777" w:rsidR="00065C52" w:rsidRPr="00C25863" w:rsidRDefault="00065C52" w:rsidP="00C25863">
      <w:pPr>
        <w:pStyle w:val="NormalWeb"/>
        <w:spacing w:before="0" w:beforeAutospacing="0" w:after="0" w:afterAutospacing="0" w:line="480" w:lineRule="auto"/>
        <w:jc w:val="center"/>
        <w:rPr>
          <w:color w:val="0E101A"/>
        </w:rPr>
      </w:pPr>
      <w:r w:rsidRPr="00C25863">
        <w:rPr>
          <w:color w:val="0E101A"/>
        </w:rPr>
        <w:t>Student’s Name</w:t>
      </w:r>
    </w:p>
    <w:p w14:paraId="0907CF08" w14:textId="77777777" w:rsidR="00065C52" w:rsidRPr="00C25863" w:rsidRDefault="00065C52" w:rsidP="00C25863">
      <w:pPr>
        <w:pStyle w:val="NormalWeb"/>
        <w:spacing w:before="0" w:beforeAutospacing="0" w:after="0" w:afterAutospacing="0" w:line="480" w:lineRule="auto"/>
        <w:jc w:val="center"/>
        <w:rPr>
          <w:color w:val="0E101A"/>
        </w:rPr>
      </w:pPr>
      <w:r w:rsidRPr="00C25863">
        <w:rPr>
          <w:color w:val="0E101A"/>
        </w:rPr>
        <w:t>Institutional Affiliation</w:t>
      </w:r>
    </w:p>
    <w:p w14:paraId="0B9E1C62" w14:textId="77777777" w:rsidR="00065C52" w:rsidRPr="00C25863" w:rsidRDefault="00065C52" w:rsidP="00C25863">
      <w:pPr>
        <w:pStyle w:val="NormalWeb"/>
        <w:spacing w:before="0" w:beforeAutospacing="0" w:after="0" w:afterAutospacing="0" w:line="480" w:lineRule="auto"/>
        <w:jc w:val="center"/>
        <w:rPr>
          <w:color w:val="0E101A"/>
        </w:rPr>
      </w:pPr>
      <w:r w:rsidRPr="00C25863">
        <w:rPr>
          <w:color w:val="0E101A"/>
        </w:rPr>
        <w:t>Professor</w:t>
      </w:r>
    </w:p>
    <w:p w14:paraId="4BB3911A" w14:textId="77777777" w:rsidR="00065C52" w:rsidRPr="00C25863" w:rsidRDefault="00065C52" w:rsidP="00C25863">
      <w:pPr>
        <w:pStyle w:val="NormalWeb"/>
        <w:spacing w:before="0" w:beforeAutospacing="0" w:after="0" w:afterAutospacing="0" w:line="480" w:lineRule="auto"/>
        <w:jc w:val="center"/>
        <w:rPr>
          <w:color w:val="0E101A"/>
        </w:rPr>
      </w:pPr>
      <w:r w:rsidRPr="00C25863">
        <w:rPr>
          <w:color w:val="0E101A"/>
        </w:rPr>
        <w:t>Course</w:t>
      </w:r>
    </w:p>
    <w:p w14:paraId="42D26072" w14:textId="16F8911F" w:rsidR="00065C52" w:rsidRDefault="00065C52" w:rsidP="00C25863">
      <w:pPr>
        <w:pStyle w:val="NormalWeb"/>
        <w:spacing w:before="0" w:beforeAutospacing="0" w:after="0" w:afterAutospacing="0" w:line="480" w:lineRule="auto"/>
        <w:jc w:val="center"/>
        <w:rPr>
          <w:color w:val="0E101A"/>
        </w:rPr>
      </w:pPr>
      <w:r w:rsidRPr="00C25863">
        <w:rPr>
          <w:color w:val="0E101A"/>
        </w:rPr>
        <w:t>Date</w:t>
      </w:r>
    </w:p>
    <w:p w14:paraId="58E41971" w14:textId="41B0F352" w:rsidR="00C25863" w:rsidRDefault="00C25863" w:rsidP="00C25863">
      <w:pPr>
        <w:pStyle w:val="NormalWeb"/>
        <w:spacing w:before="0" w:beforeAutospacing="0" w:after="0" w:afterAutospacing="0" w:line="480" w:lineRule="auto"/>
        <w:jc w:val="center"/>
        <w:rPr>
          <w:color w:val="0E101A"/>
        </w:rPr>
      </w:pPr>
    </w:p>
    <w:p w14:paraId="3C736083" w14:textId="314A659F" w:rsidR="00C25863" w:rsidRDefault="00C25863" w:rsidP="00C25863">
      <w:pPr>
        <w:pStyle w:val="NormalWeb"/>
        <w:spacing w:before="0" w:beforeAutospacing="0" w:after="0" w:afterAutospacing="0" w:line="480" w:lineRule="auto"/>
        <w:jc w:val="center"/>
        <w:rPr>
          <w:color w:val="0E101A"/>
        </w:rPr>
      </w:pPr>
    </w:p>
    <w:p w14:paraId="0E294B0C" w14:textId="6130CD5F" w:rsidR="00C25863" w:rsidRDefault="00C25863" w:rsidP="00C25863">
      <w:pPr>
        <w:pStyle w:val="NormalWeb"/>
        <w:spacing w:before="0" w:beforeAutospacing="0" w:after="0" w:afterAutospacing="0" w:line="480" w:lineRule="auto"/>
        <w:jc w:val="center"/>
        <w:rPr>
          <w:color w:val="0E101A"/>
        </w:rPr>
      </w:pPr>
    </w:p>
    <w:p w14:paraId="28439054" w14:textId="43049FB0" w:rsidR="00C25863" w:rsidRDefault="00C25863" w:rsidP="00C25863">
      <w:pPr>
        <w:pStyle w:val="NormalWeb"/>
        <w:spacing w:before="0" w:beforeAutospacing="0" w:after="0" w:afterAutospacing="0" w:line="480" w:lineRule="auto"/>
        <w:jc w:val="center"/>
        <w:rPr>
          <w:color w:val="0E101A"/>
        </w:rPr>
      </w:pPr>
    </w:p>
    <w:p w14:paraId="236EED1E" w14:textId="718B6AFE" w:rsidR="00C25863" w:rsidRDefault="00C25863" w:rsidP="00C25863">
      <w:pPr>
        <w:pStyle w:val="NormalWeb"/>
        <w:spacing w:before="0" w:beforeAutospacing="0" w:after="0" w:afterAutospacing="0" w:line="480" w:lineRule="auto"/>
        <w:jc w:val="center"/>
        <w:rPr>
          <w:color w:val="0E101A"/>
        </w:rPr>
      </w:pPr>
    </w:p>
    <w:p w14:paraId="0C947CFA" w14:textId="378B291C" w:rsidR="00C25863" w:rsidRDefault="00C25863" w:rsidP="00C25863">
      <w:pPr>
        <w:pStyle w:val="NormalWeb"/>
        <w:spacing w:before="0" w:beforeAutospacing="0" w:after="0" w:afterAutospacing="0" w:line="480" w:lineRule="auto"/>
        <w:jc w:val="center"/>
        <w:rPr>
          <w:color w:val="0E101A"/>
        </w:rPr>
      </w:pPr>
    </w:p>
    <w:p w14:paraId="70B4EA0A" w14:textId="67837DC9" w:rsidR="00C25863" w:rsidRDefault="00C25863" w:rsidP="00C25863">
      <w:pPr>
        <w:pStyle w:val="NormalWeb"/>
        <w:spacing w:before="0" w:beforeAutospacing="0" w:after="0" w:afterAutospacing="0" w:line="480" w:lineRule="auto"/>
        <w:jc w:val="center"/>
        <w:rPr>
          <w:color w:val="0E101A"/>
        </w:rPr>
      </w:pPr>
    </w:p>
    <w:p w14:paraId="3A7D8779" w14:textId="7CC305AB" w:rsidR="00C25863" w:rsidRDefault="00C25863" w:rsidP="00C25863">
      <w:pPr>
        <w:pStyle w:val="NormalWeb"/>
        <w:spacing w:before="0" w:beforeAutospacing="0" w:after="0" w:afterAutospacing="0" w:line="480" w:lineRule="auto"/>
        <w:jc w:val="center"/>
        <w:rPr>
          <w:color w:val="0E101A"/>
        </w:rPr>
      </w:pPr>
    </w:p>
    <w:p w14:paraId="60BD73B8" w14:textId="5F0D4AC2" w:rsidR="00C25863" w:rsidRDefault="00C25863" w:rsidP="00C25863">
      <w:pPr>
        <w:pStyle w:val="NormalWeb"/>
        <w:spacing w:before="0" w:beforeAutospacing="0" w:after="0" w:afterAutospacing="0" w:line="480" w:lineRule="auto"/>
        <w:jc w:val="center"/>
        <w:rPr>
          <w:color w:val="0E101A"/>
        </w:rPr>
      </w:pPr>
    </w:p>
    <w:p w14:paraId="66547813" w14:textId="77777777" w:rsidR="00C25863" w:rsidRPr="00C25863" w:rsidRDefault="00C25863" w:rsidP="00C25863">
      <w:pPr>
        <w:pStyle w:val="NormalWeb"/>
        <w:spacing w:before="0" w:beforeAutospacing="0" w:after="0" w:afterAutospacing="0" w:line="480" w:lineRule="auto"/>
        <w:jc w:val="center"/>
        <w:rPr>
          <w:color w:val="0E101A"/>
        </w:rPr>
      </w:pPr>
    </w:p>
    <w:p w14:paraId="79765931" w14:textId="3FCCCB2D" w:rsidR="00065C52" w:rsidRPr="00C25863" w:rsidRDefault="00065C52" w:rsidP="00C25863">
      <w:pPr>
        <w:pStyle w:val="NormalWeb"/>
        <w:spacing w:before="0" w:beforeAutospacing="0" w:after="0" w:afterAutospacing="0" w:line="480" w:lineRule="auto"/>
        <w:jc w:val="center"/>
        <w:rPr>
          <w:b/>
          <w:bCs/>
          <w:color w:val="0E101A"/>
          <w:lang w:val="en-US"/>
        </w:rPr>
      </w:pPr>
      <w:r w:rsidRPr="00C25863">
        <w:rPr>
          <w:b/>
          <w:bCs/>
          <w:color w:val="0E101A"/>
          <w:lang w:val="en-US"/>
        </w:rPr>
        <w:lastRenderedPageBreak/>
        <w:t>Social Determinants of Health</w:t>
      </w:r>
    </w:p>
    <w:p w14:paraId="5D1F8924" w14:textId="77C7ACCA" w:rsidR="00C947BB" w:rsidRPr="00C947BB" w:rsidRDefault="00C947BB" w:rsidP="00C947BB">
      <w:pPr>
        <w:pStyle w:val="NormalWeb"/>
        <w:spacing w:before="0" w:beforeAutospacing="0" w:after="0" w:afterAutospacing="0" w:line="480" w:lineRule="auto"/>
        <w:rPr>
          <w:b/>
          <w:bCs/>
          <w:color w:val="0E101A"/>
          <w:lang w:val="en-US"/>
        </w:rPr>
      </w:pPr>
      <w:r w:rsidRPr="00C947BB">
        <w:rPr>
          <w:b/>
          <w:bCs/>
          <w:color w:val="0E101A"/>
          <w:lang w:val="en-US"/>
        </w:rPr>
        <w:t>Social determinants of HV/AIDS</w:t>
      </w:r>
    </w:p>
    <w:p w14:paraId="263A7517" w14:textId="17CAE0D2" w:rsidR="00065C52" w:rsidRPr="00C25863" w:rsidRDefault="00065C52" w:rsidP="00C25863">
      <w:pPr>
        <w:pStyle w:val="NormalWeb"/>
        <w:spacing w:before="0" w:beforeAutospacing="0" w:after="0" w:afterAutospacing="0" w:line="480" w:lineRule="auto"/>
        <w:ind w:firstLine="720"/>
        <w:rPr>
          <w:color w:val="0E101A"/>
        </w:rPr>
      </w:pPr>
      <w:r w:rsidRPr="00C25863">
        <w:rPr>
          <w:color w:val="0E101A"/>
        </w:rPr>
        <w:t>The social determinants of health are the conditions people live and grow in, including the interrelated structures of social and economic systems. These systems shape the living standards of people for them to have a good living standard. These determinants include social, built, and physical environment and health services, the social environment includes discrimination, marital status, level of education, and income concept. Built environments include buildings, products produced and modified by people, and transportation systems, while the physical environment includes crowing conditions and residence places. Health services, which is the essential concept I social determinants, include people's ability to access quality care and insurance status. </w:t>
      </w:r>
    </w:p>
    <w:p w14:paraId="483F2E5D" w14:textId="5FA260AD" w:rsidR="00C25863" w:rsidRDefault="00065C52" w:rsidP="00C25863">
      <w:pPr>
        <w:pStyle w:val="NormalWeb"/>
        <w:spacing w:before="0" w:beforeAutospacing="0" w:after="0" w:afterAutospacing="0" w:line="480" w:lineRule="auto"/>
        <w:ind w:firstLine="720"/>
        <w:rPr>
          <w:color w:val="0E101A"/>
        </w:rPr>
      </w:pPr>
      <w:r w:rsidRPr="00C25863">
        <w:rPr>
          <w:color w:val="0E101A"/>
        </w:rPr>
        <w:t>Social determinants of health based on HIV/AIDS are accessing healthcare services, access to educational and economic opportunities, availability of affordable housing and food, public safety, community and social support, culture, and social norms. These determinants greatly impact a person's quality of life, risks, health, and functioning. A person who has HIV/AIDS cannot control the determinants because the social determinants intersect to impact health inequities</w:t>
      </w:r>
      <w:r w:rsidR="00877CCB" w:rsidRPr="00C25863">
        <w:rPr>
          <w:color w:val="0E101A"/>
          <w:lang w:val="en-US"/>
        </w:rPr>
        <w:t xml:space="preserve"> (</w:t>
      </w:r>
      <w:r w:rsidR="00877CCB" w:rsidRPr="00877CCB">
        <w:t>Brennan</w:t>
      </w:r>
      <w:r w:rsidR="00877CCB" w:rsidRPr="00C25863">
        <w:rPr>
          <w:lang w:val="en-US"/>
        </w:rPr>
        <w:t xml:space="preserve"> et al., 2008</w:t>
      </w:r>
      <w:r w:rsidR="00877CCB" w:rsidRPr="00C25863">
        <w:rPr>
          <w:color w:val="0E101A"/>
          <w:lang w:val="en-US"/>
        </w:rPr>
        <w:t>)</w:t>
      </w:r>
      <w:r w:rsidRPr="00C25863">
        <w:rPr>
          <w:color w:val="0E101A"/>
        </w:rPr>
        <w:t>. Health inequities are avoidable differences in health status and outcomes in a group of people. They arise from inequalities among societies and affect the lives of the people. In other words, the social determinants of health on HIV patients are the common drivers of health inequities. Generally, health determinants regarding HIV/AIDS are categorized into biology and genetics, community networks, living and working conditions, socio-economics, and the environment.</w:t>
      </w:r>
    </w:p>
    <w:p w14:paraId="7363B226" w14:textId="52B64BD2" w:rsidR="00C25863" w:rsidRDefault="00C25863" w:rsidP="00C25863">
      <w:pPr>
        <w:pStyle w:val="NormalWeb"/>
        <w:spacing w:before="0" w:beforeAutospacing="0" w:after="0" w:afterAutospacing="0" w:line="480" w:lineRule="auto"/>
        <w:ind w:firstLine="720"/>
        <w:rPr>
          <w:color w:val="0E101A"/>
        </w:rPr>
      </w:pPr>
    </w:p>
    <w:p w14:paraId="3687A669" w14:textId="77777777" w:rsidR="00C25863" w:rsidRPr="00C25863" w:rsidRDefault="00C25863" w:rsidP="00C25863">
      <w:pPr>
        <w:pStyle w:val="NormalWeb"/>
        <w:spacing w:before="0" w:beforeAutospacing="0" w:after="0" w:afterAutospacing="0" w:line="480" w:lineRule="auto"/>
        <w:ind w:firstLine="720"/>
        <w:rPr>
          <w:color w:val="0E101A"/>
        </w:rPr>
      </w:pPr>
    </w:p>
    <w:p w14:paraId="2D0D3E26" w14:textId="7B4F3A0A" w:rsidR="00065C52" w:rsidRPr="00C25863" w:rsidRDefault="00065C52" w:rsidP="00C25863">
      <w:pPr>
        <w:pStyle w:val="NormalWeb"/>
        <w:spacing w:before="0" w:beforeAutospacing="0" w:after="0" w:afterAutospacing="0" w:line="480" w:lineRule="auto"/>
        <w:jc w:val="center"/>
        <w:rPr>
          <w:b/>
          <w:bCs/>
          <w:color w:val="0E101A"/>
          <w:lang w:val="en-US"/>
        </w:rPr>
      </w:pPr>
      <w:r w:rsidRPr="00C25863">
        <w:rPr>
          <w:b/>
          <w:bCs/>
          <w:color w:val="0E101A"/>
          <w:lang w:val="en-US"/>
        </w:rPr>
        <w:t>Examination of Social Determinants of Health</w:t>
      </w:r>
    </w:p>
    <w:p w14:paraId="1CD6FF5A" w14:textId="77777777" w:rsidR="00C25863" w:rsidRDefault="00065C52" w:rsidP="00C25863">
      <w:pPr>
        <w:pStyle w:val="NormalWeb"/>
        <w:spacing w:before="0" w:beforeAutospacing="0" w:after="0" w:afterAutospacing="0" w:line="480" w:lineRule="auto"/>
        <w:ind w:firstLine="720"/>
        <w:rPr>
          <w:color w:val="0E101A"/>
        </w:rPr>
      </w:pPr>
      <w:r w:rsidRPr="00C25863">
        <w:rPr>
          <w:color w:val="0E101A"/>
        </w:rPr>
        <w:t>The structural change and interventions impact the social determinants of HIV risk because HIV service providers can utilize them</w:t>
      </w:r>
      <w:r w:rsidR="00C25863" w:rsidRPr="00C25863">
        <w:rPr>
          <w:color w:val="0E101A"/>
          <w:lang w:val="en-US"/>
        </w:rPr>
        <w:t xml:space="preserve"> (</w:t>
      </w:r>
      <w:r w:rsidR="00C25863" w:rsidRPr="00877CCB">
        <w:t>Dean</w:t>
      </w:r>
      <w:r w:rsidR="00C25863" w:rsidRPr="00C25863">
        <w:rPr>
          <w:lang w:val="en-US"/>
        </w:rPr>
        <w:t xml:space="preserve"> </w:t>
      </w:r>
      <w:r w:rsidR="00C25863" w:rsidRPr="00877CCB">
        <w:t>&amp; Fenton, 2010</w:t>
      </w:r>
      <w:r w:rsidR="00C25863" w:rsidRPr="00C25863">
        <w:rPr>
          <w:color w:val="0E101A"/>
          <w:lang w:val="en-US"/>
        </w:rPr>
        <w:t>)</w:t>
      </w:r>
      <w:r w:rsidRPr="00C25863">
        <w:rPr>
          <w:color w:val="0E101A"/>
        </w:rPr>
        <w:t xml:space="preserve">. The community planners maximize the successful implementation of systems set aside to explain and examines the relationship between social determinants and structural change. The examination of these determinants also highlights the importance of mobilizing the community about preventing HIV at a structural level. In many HIV/AIDS programs, services that support people living with HIV/AIDS include tutoring, educating, forming support groups, and mentoring programs to help them have a quality life. Holding social events and dinners for them gives moral support and hope that the community still cares for them. </w:t>
      </w:r>
    </w:p>
    <w:p w14:paraId="528EC8D6" w14:textId="3AE27609" w:rsidR="00065C52" w:rsidRPr="00C25863" w:rsidRDefault="00065C52" w:rsidP="00C25863">
      <w:pPr>
        <w:pStyle w:val="NormalWeb"/>
        <w:spacing w:before="0" w:beforeAutospacing="0" w:after="0" w:afterAutospacing="0" w:line="480" w:lineRule="auto"/>
        <w:ind w:firstLine="720"/>
        <w:rPr>
          <w:color w:val="0E101A"/>
        </w:rPr>
      </w:pPr>
      <w:r w:rsidRPr="00C25863">
        <w:rPr>
          <w:color w:val="0E101A"/>
        </w:rPr>
        <w:t>Most HIV patients suffer from depression and other heart-related diseases because of stigmatization from the community. Therefore, holding such events enlightens their moods because they have a purpose in the community. In rural areas accessing quality healthcare services is a big challenge because of less development in the healthcare sector</w:t>
      </w:r>
      <w:r w:rsidR="00C25863" w:rsidRPr="00C25863">
        <w:rPr>
          <w:color w:val="0E101A"/>
          <w:lang w:val="en-US"/>
        </w:rPr>
        <w:t xml:space="preserve"> (</w:t>
      </w:r>
      <w:r w:rsidR="00C25863" w:rsidRPr="00877CCB">
        <w:t>Dean</w:t>
      </w:r>
      <w:r w:rsidR="00C25863" w:rsidRPr="00C25863">
        <w:rPr>
          <w:lang w:val="en-US"/>
        </w:rPr>
        <w:t xml:space="preserve"> </w:t>
      </w:r>
      <w:r w:rsidR="00C25863" w:rsidRPr="00877CCB">
        <w:t>&amp; Fenton, 2010</w:t>
      </w:r>
      <w:r w:rsidR="00C25863" w:rsidRPr="00C25863">
        <w:rPr>
          <w:color w:val="0E101A"/>
          <w:lang w:val="en-US"/>
        </w:rPr>
        <w:t>)</w:t>
      </w:r>
      <w:r w:rsidRPr="00C25863">
        <w:rPr>
          <w:color w:val="0E101A"/>
        </w:rPr>
        <w:t xml:space="preserve">. Therefore, access to nutrition services, referrals for treatment and </w:t>
      </w:r>
      <w:r w:rsidRPr="00C25863">
        <w:rPr>
          <w:color w:val="0E101A"/>
        </w:rPr>
        <w:t>counselling</w:t>
      </w:r>
      <w:r w:rsidRPr="00C25863">
        <w:rPr>
          <w:color w:val="0E101A"/>
        </w:rPr>
        <w:t>, specialty care, and case management will positively impact the patients since they will access quality health care services, which is a basic right to them. Access to quality healthcare services reduces the mortality rate of people dying from HIV.</w:t>
      </w:r>
    </w:p>
    <w:p w14:paraId="2AD023B2" w14:textId="6264282E" w:rsidR="00065C52" w:rsidRPr="00C25863" w:rsidRDefault="00065C52" w:rsidP="00C25863">
      <w:pPr>
        <w:pStyle w:val="NormalWeb"/>
        <w:spacing w:before="0" w:beforeAutospacing="0" w:after="0" w:afterAutospacing="0" w:line="480" w:lineRule="auto"/>
        <w:ind w:firstLine="720"/>
        <w:rPr>
          <w:color w:val="0E101A"/>
        </w:rPr>
      </w:pPr>
      <w:r w:rsidRPr="00C25863">
        <w:rPr>
          <w:color w:val="0E101A"/>
        </w:rPr>
        <w:t>South Africa is the leading country with people living with HIV since it has 7.2 million people infected. South Africa is a developing country, thus having huge economic and social problems. Therefore, developed countries like the USA assist in financial bills by promoting access to quality healthcare in the country</w:t>
      </w:r>
      <w:r w:rsidR="00877CCB" w:rsidRPr="00C25863">
        <w:rPr>
          <w:color w:val="0E101A"/>
          <w:lang w:val="en-US"/>
        </w:rPr>
        <w:t xml:space="preserve"> (</w:t>
      </w:r>
      <w:r w:rsidR="00877CCB" w:rsidRPr="00877CCB">
        <w:t>Denning &amp; DiNenno, 2010</w:t>
      </w:r>
      <w:r w:rsidR="00877CCB" w:rsidRPr="00C25863">
        <w:rPr>
          <w:color w:val="0E101A"/>
          <w:lang w:val="en-US"/>
        </w:rPr>
        <w:t>)</w:t>
      </w:r>
      <w:r w:rsidRPr="00C25863">
        <w:rPr>
          <w:color w:val="0E101A"/>
        </w:rPr>
        <w:t xml:space="preserve">. Apart from South </w:t>
      </w:r>
      <w:r w:rsidRPr="00C25863">
        <w:rPr>
          <w:color w:val="0E101A"/>
        </w:rPr>
        <w:lastRenderedPageBreak/>
        <w:t>Africa, some countries need financial assistance since there are experiencing economic and social problems such as corruption. Antiretroviral (ARV) drugs need to be transported from where they are manufactured to other countries. Thence, transportation assistance is also required in developing countries. Without transportation services, the mortality rate will increase since patients will not access the drug at a given time. These services are essential since the drugs give the patient s sense of belonging in the community by offering quality life. Due to family and community stigmatization, some people with HIV become homeless ad are left to die since they have no support</w:t>
      </w:r>
      <w:r w:rsidR="00C25863">
        <w:rPr>
          <w:color w:val="0E101A"/>
          <w:lang w:val="en-US"/>
        </w:rPr>
        <w:t xml:space="preserve"> (</w:t>
      </w:r>
      <w:r w:rsidR="00C25863" w:rsidRPr="00877CCB">
        <w:t>Dean</w:t>
      </w:r>
      <w:r w:rsidR="00C25863">
        <w:rPr>
          <w:lang w:val="en-US"/>
        </w:rPr>
        <w:t xml:space="preserve"> </w:t>
      </w:r>
      <w:r w:rsidR="00C25863" w:rsidRPr="00877CCB">
        <w:t>&amp; Fenton, 2010</w:t>
      </w:r>
      <w:r w:rsidR="00C25863">
        <w:rPr>
          <w:color w:val="0E101A"/>
          <w:lang w:val="en-US"/>
        </w:rPr>
        <w:t>)</w:t>
      </w:r>
      <w:r w:rsidRPr="00C25863">
        <w:rPr>
          <w:color w:val="0E101A"/>
        </w:rPr>
        <w:t>. Offering support in finding homes for the individual will boost their self-esteem, and they will innovative and creative, not missing the opportunities presented to them by the community. Therefore, it is essential to educate the community about the importance and impact of supporting people living with HIV.</w:t>
      </w:r>
    </w:p>
    <w:p w14:paraId="4ABB9322" w14:textId="2ACA017C" w:rsidR="00065C52" w:rsidRPr="00C25863" w:rsidRDefault="00065C52" w:rsidP="00C25863">
      <w:pPr>
        <w:pStyle w:val="NormalWeb"/>
        <w:spacing w:before="0" w:beforeAutospacing="0" w:after="0" w:afterAutospacing="0" w:line="480" w:lineRule="auto"/>
        <w:rPr>
          <w:b/>
          <w:bCs/>
          <w:color w:val="0E101A"/>
        </w:rPr>
      </w:pPr>
      <w:r w:rsidRPr="00C25863">
        <w:rPr>
          <w:b/>
          <w:bCs/>
          <w:color w:val="0E101A"/>
          <w:lang w:val="en-US"/>
        </w:rPr>
        <w:t xml:space="preserve">Comparison </w:t>
      </w:r>
      <w:r w:rsidRPr="00C25863">
        <w:rPr>
          <w:b/>
          <w:bCs/>
          <w:color w:val="0E101A"/>
          <w:lang w:val="en-US"/>
        </w:rPr>
        <w:t>of Social Determinants of Health</w:t>
      </w:r>
      <w:r w:rsidRPr="00C25863">
        <w:rPr>
          <w:b/>
          <w:bCs/>
          <w:color w:val="0E101A"/>
        </w:rPr>
        <w:t> </w:t>
      </w:r>
    </w:p>
    <w:p w14:paraId="19084D94" w14:textId="0D8FA4E6" w:rsidR="00065C52" w:rsidRPr="00C25863" w:rsidRDefault="00065C52" w:rsidP="00C25863">
      <w:pPr>
        <w:pStyle w:val="NormalWeb"/>
        <w:spacing w:before="0" w:beforeAutospacing="0" w:after="0" w:afterAutospacing="0" w:line="480" w:lineRule="auto"/>
        <w:ind w:firstLine="720"/>
        <w:rPr>
          <w:color w:val="0E101A"/>
        </w:rPr>
      </w:pPr>
      <w:r w:rsidRPr="00C25863">
        <w:rPr>
          <w:color w:val="0E101A"/>
        </w:rPr>
        <w:t>According to the Public Health Report, the government is focusing on innovating and advancing social determinants of health interrelated to HIV and other diseases. The above determinants are compounded when they intersect with human health to create and maintain the vulnerability contexts. When comparing the social determinants, the context of vulnerability of each determinant contributes to a unique intervention that is addressed when there are overlapping effects. A comparison of the determinants shows the modification of contextual factors, which in the long run, facilitates a reduction in HIV risk and provides justification for people living with HIV. The social determinants of health interrelated with HIV affect the sexual behavior decision </w:t>
      </w:r>
      <w:r w:rsidRPr="00C25863">
        <w:rPr>
          <w:rStyle w:val="Strong"/>
          <w:b w:val="0"/>
          <w:bCs w:val="0"/>
          <w:color w:val="0E101A"/>
        </w:rPr>
        <w:t>making</w:t>
      </w:r>
      <w:r w:rsidRPr="00C25863">
        <w:rPr>
          <w:color w:val="0E101A"/>
        </w:rPr>
        <w:t xml:space="preserve"> of people. For instance, a financially dependent woman on a male sex partner has little power to insist on condom use upon learning that he has other female sex partners. Such dependence could affect other aspects of her life, such as access to food, </w:t>
      </w:r>
      <w:r w:rsidRPr="00C25863">
        <w:rPr>
          <w:color w:val="0E101A"/>
        </w:rPr>
        <w:lastRenderedPageBreak/>
        <w:t>transportation, and housing</w:t>
      </w:r>
      <w:r w:rsidR="00C25863" w:rsidRPr="00C25863">
        <w:rPr>
          <w:color w:val="0E101A"/>
          <w:lang w:val="en-US"/>
        </w:rPr>
        <w:t xml:space="preserve"> (</w:t>
      </w:r>
      <w:r w:rsidR="00C25863" w:rsidRPr="00065C52">
        <w:t>Edwards</w:t>
      </w:r>
      <w:r w:rsidR="00C25863" w:rsidRPr="00C25863">
        <w:rPr>
          <w:lang w:val="en-US"/>
        </w:rPr>
        <w:t xml:space="preserve"> </w:t>
      </w:r>
      <w:r w:rsidR="00C25863" w:rsidRPr="00065C52">
        <w:t>&amp; Collins</w:t>
      </w:r>
      <w:r w:rsidR="00C25863" w:rsidRPr="00C25863">
        <w:rPr>
          <w:lang w:val="en-US"/>
        </w:rPr>
        <w:t>,</w:t>
      </w:r>
      <w:r w:rsidR="00C25863" w:rsidRPr="00065C52">
        <w:t xml:space="preserve"> 2014</w:t>
      </w:r>
      <w:r w:rsidR="00C25863" w:rsidRPr="00C25863">
        <w:rPr>
          <w:color w:val="0E101A"/>
          <w:lang w:val="en-US"/>
        </w:rPr>
        <w:t>)</w:t>
      </w:r>
      <w:r w:rsidRPr="00C25863">
        <w:rPr>
          <w:color w:val="0E101A"/>
        </w:rPr>
        <w:t>. In other words, women experience scarcity and limited access to quality healthcare services as much as men in poor and under-served communities. The societal values such as sex education are not offered to people at a young age; thence they believe education is not necessary or appropriate.</w:t>
      </w:r>
    </w:p>
    <w:p w14:paraId="6A56F943" w14:textId="77777777" w:rsidR="00C25863" w:rsidRDefault="00065C52" w:rsidP="00C25863">
      <w:pPr>
        <w:pStyle w:val="NormalWeb"/>
        <w:spacing w:before="0" w:beforeAutospacing="0" w:after="0" w:afterAutospacing="0" w:line="480" w:lineRule="auto"/>
        <w:ind w:firstLine="720"/>
        <w:rPr>
          <w:color w:val="0E101A"/>
        </w:rPr>
      </w:pPr>
      <w:r w:rsidRPr="00C25863">
        <w:rPr>
          <w:color w:val="0E101A"/>
        </w:rPr>
        <w:t>For this reason, the rate of HIV is increasing, and people are educated later after they have contracted the virus. As part of social determinants, cultural norms dictate low status for people in the communities, which results in less or no control over their life decisions. Sex education should be taught to both girls and boys at a younger age to know how to prevent, and if infected, how to control the virus with high confidence and self-esteem. Federal governments need to have programs that eradicate poverty to access health services at a fordable price</w:t>
      </w:r>
      <w:r w:rsidR="00877CCB" w:rsidRPr="00C25863">
        <w:rPr>
          <w:color w:val="0E101A"/>
          <w:lang w:val="en-US"/>
        </w:rPr>
        <w:t xml:space="preserve"> (</w:t>
      </w:r>
      <w:r w:rsidR="00877CCB" w:rsidRPr="00877CCB">
        <w:t>Artiga</w:t>
      </w:r>
      <w:r w:rsidR="00877CCB" w:rsidRPr="00C25863">
        <w:rPr>
          <w:lang w:val="en-US"/>
        </w:rPr>
        <w:t xml:space="preserve"> </w:t>
      </w:r>
      <w:r w:rsidR="00877CCB" w:rsidRPr="00877CCB">
        <w:t>&amp; Hinton, (2019</w:t>
      </w:r>
      <w:r w:rsidR="00877CCB" w:rsidRPr="00C25863">
        <w:rPr>
          <w:color w:val="0E101A"/>
          <w:lang w:val="en-US"/>
        </w:rPr>
        <w:t>)</w:t>
      </w:r>
      <w:r w:rsidRPr="00C25863">
        <w:rPr>
          <w:color w:val="0E101A"/>
        </w:rPr>
        <w:t xml:space="preserve">. Poverty is the common factor that propels a global pandemic in developing countries. Without sex education, developing countries will lack the basic knowledge about sexual health and transmission of HIV. </w:t>
      </w:r>
    </w:p>
    <w:p w14:paraId="6E94F284" w14:textId="37664AF9" w:rsidR="00065C52" w:rsidRPr="00C25863" w:rsidRDefault="00065C52" w:rsidP="00C25863">
      <w:pPr>
        <w:pStyle w:val="NormalWeb"/>
        <w:spacing w:before="0" w:beforeAutospacing="0" w:after="0" w:afterAutospacing="0" w:line="480" w:lineRule="auto"/>
        <w:ind w:firstLine="720"/>
        <w:rPr>
          <w:color w:val="0E101A"/>
        </w:rPr>
      </w:pPr>
      <w:r w:rsidRPr="00C25863">
        <w:rPr>
          <w:color w:val="0E101A"/>
        </w:rPr>
        <w:t>Although social attitudes such as discrimination and distrust of government should not be barriers to access to quality healthcare services, they are the greatest contributing factor to depression and other diseases. Offering support and public safety are determinants that are purposeful for people living with HIV because they offer them opportunities to participate in community activities. Most people live in fear because of less social support from communities and cultures. Comparing the social determinants shows the various factors that influence each determinant and how individuals and the government should be involved in preventing transmission of the virus. </w:t>
      </w:r>
    </w:p>
    <w:p w14:paraId="47C746C4" w14:textId="1914E2D9" w:rsidR="00065C52" w:rsidRPr="00C25863" w:rsidRDefault="00065C52" w:rsidP="00C25863">
      <w:pPr>
        <w:pStyle w:val="NormalWeb"/>
        <w:spacing w:before="0" w:beforeAutospacing="0" w:after="0" w:afterAutospacing="0" w:line="480" w:lineRule="auto"/>
        <w:rPr>
          <w:b/>
          <w:bCs/>
          <w:color w:val="0E101A"/>
          <w:lang w:val="en-US"/>
        </w:rPr>
      </w:pPr>
      <w:r w:rsidRPr="00C25863">
        <w:rPr>
          <w:b/>
          <w:bCs/>
          <w:color w:val="0E101A"/>
          <w:lang w:val="en-US"/>
        </w:rPr>
        <w:t xml:space="preserve">Contrast </w:t>
      </w:r>
      <w:r w:rsidRPr="00C25863">
        <w:rPr>
          <w:b/>
          <w:bCs/>
          <w:color w:val="0E101A"/>
          <w:lang w:val="en-US"/>
        </w:rPr>
        <w:t>of Social Determinants of Health</w:t>
      </w:r>
    </w:p>
    <w:p w14:paraId="6328A44B" w14:textId="627BD4F4" w:rsidR="00065C52" w:rsidRPr="00C25863" w:rsidRDefault="00065C52" w:rsidP="00C25863">
      <w:pPr>
        <w:pStyle w:val="NormalWeb"/>
        <w:spacing w:before="0" w:beforeAutospacing="0" w:after="0" w:afterAutospacing="0" w:line="480" w:lineRule="auto"/>
        <w:ind w:firstLine="720"/>
        <w:rPr>
          <w:color w:val="0E101A"/>
        </w:rPr>
      </w:pPr>
      <w:r w:rsidRPr="00C25863">
        <w:rPr>
          <w:color w:val="0E101A"/>
        </w:rPr>
        <w:lastRenderedPageBreak/>
        <w:t>Community characteristics involve the effect of prisons as social institutions contribute to health status and outcomes. These characteristics are not essential determinants, but they allow people to be creative and improve their living standards. With the community and societal characteristics, governments in various countries conduct programs about HIV intervention, treatment, and care for the society. Compared to community characteristics, social support and community network are the most important determinants in preventing HIV and educating people about the virus. With pubic support, people living with HIV can achieve more in the community and are regarded as worthy and important in the community. Government setting up community-based activities allows interaction with each other, thus offering support and opportunities to be part of the community</w:t>
      </w:r>
      <w:r w:rsidR="00877CCB" w:rsidRPr="00C25863">
        <w:rPr>
          <w:color w:val="0E101A"/>
          <w:lang w:val="en-US"/>
        </w:rPr>
        <w:t xml:space="preserve"> (</w:t>
      </w:r>
      <w:r w:rsidR="00877CCB" w:rsidRPr="00877CCB">
        <w:t>Brennan</w:t>
      </w:r>
      <w:r w:rsidR="00877CCB" w:rsidRPr="00C25863">
        <w:rPr>
          <w:lang w:val="en-US"/>
        </w:rPr>
        <w:t xml:space="preserve"> et al., 2008</w:t>
      </w:r>
      <w:r w:rsidR="00877CCB" w:rsidRPr="00C25863">
        <w:rPr>
          <w:color w:val="0E101A"/>
          <w:lang w:val="en-US"/>
        </w:rPr>
        <w:t>)</w:t>
      </w:r>
      <w:r w:rsidRPr="00C25863">
        <w:rPr>
          <w:color w:val="0E101A"/>
        </w:rPr>
        <w:t>. Healthcare access is an important determinant in caring for people with HIV and preventing HIV transmission while housing conditions offer shelter to the homeless, which is a basic need. Although working and housing conditions are not prioritized, such as accessing quality health care, they are intersecting people living with HIV.</w:t>
      </w:r>
    </w:p>
    <w:p w14:paraId="2933B248" w14:textId="77777777" w:rsidR="00065C52" w:rsidRPr="00C25863" w:rsidRDefault="00065C52" w:rsidP="00C25863">
      <w:pPr>
        <w:pStyle w:val="NormalWeb"/>
        <w:spacing w:before="0" w:beforeAutospacing="0" w:after="0" w:afterAutospacing="0" w:line="480" w:lineRule="auto"/>
        <w:jc w:val="center"/>
        <w:rPr>
          <w:b/>
          <w:bCs/>
          <w:color w:val="0E101A"/>
        </w:rPr>
      </w:pPr>
      <w:r w:rsidRPr="00C25863">
        <w:rPr>
          <w:b/>
          <w:bCs/>
          <w:color w:val="0E101A"/>
        </w:rPr>
        <w:t>Conclusion</w:t>
      </w:r>
    </w:p>
    <w:p w14:paraId="57184051" w14:textId="77777777" w:rsidR="00C25863" w:rsidRDefault="00065C52" w:rsidP="00C25863">
      <w:pPr>
        <w:pStyle w:val="NormalWeb"/>
        <w:spacing w:before="0" w:beforeAutospacing="0" w:after="0" w:afterAutospacing="0" w:line="480" w:lineRule="auto"/>
        <w:ind w:firstLine="720"/>
        <w:rPr>
          <w:color w:val="0E101A"/>
        </w:rPr>
      </w:pPr>
      <w:r w:rsidRPr="00C25863">
        <w:rPr>
          <w:color w:val="0E101A"/>
        </w:rPr>
        <w:t xml:space="preserve">Social determinants of HIV related are associated with its lack of opportunities, resources for protection, maintaining, and improving health. These factors cause health inequities, avoidable and unfair differences in people's health. Ministry of heath in different countries has committed their time are resources to promote awareness, engage in activities that educate and prevent HIV transmission. Factors that intersect a person's health status should be included in government policies, practices, partnership activities, and research. Addressing the social determinants of HIV and health is important since it helps achieve health equity by allowing patients to attain their health potential. Health equity is referred to as the absence of disparities in </w:t>
      </w:r>
      <w:r w:rsidRPr="00C25863">
        <w:rPr>
          <w:color w:val="0E101A"/>
        </w:rPr>
        <w:lastRenderedPageBreak/>
        <w:t xml:space="preserve">people's health status in social groups that have different levels of advantages, both socially and economically. </w:t>
      </w:r>
    </w:p>
    <w:p w14:paraId="3F4B3040" w14:textId="25A57222" w:rsidR="00065C52" w:rsidRPr="00C25863" w:rsidRDefault="00065C52" w:rsidP="00C25863">
      <w:pPr>
        <w:pStyle w:val="NormalWeb"/>
        <w:spacing w:before="0" w:beforeAutospacing="0" w:after="0" w:afterAutospacing="0" w:line="480" w:lineRule="auto"/>
        <w:ind w:firstLine="720"/>
        <w:rPr>
          <w:color w:val="0E101A"/>
        </w:rPr>
      </w:pPr>
      <w:r w:rsidRPr="00C25863">
        <w:rPr>
          <w:color w:val="0E101A"/>
        </w:rPr>
        <w:t xml:space="preserve">Poverty, inadequate access to health care, stigma, racism, and lack of education are major contributing factors to health inequities. It is the CDC's responsibility to achieve improvement in people's lives by increasing health care services and reducing health inequalities globally. Institutions should be educating and looking beyond </w:t>
      </w:r>
      <w:r w:rsidRPr="00C25863">
        <w:rPr>
          <w:color w:val="0E101A"/>
        </w:rPr>
        <w:t>behavioural</w:t>
      </w:r>
      <w:r w:rsidRPr="00C25863">
        <w:rPr>
          <w:color w:val="0E101A"/>
        </w:rPr>
        <w:t xml:space="preserve"> factors that address factors that intersect an individual's health. World Health Organization has three principles that guide them in eliminating health inequalities for communities. They include improving people's living conditions with HIV, tackling Inequitable distribution of power, and measuring problems, evaluating an action, and developing a workforce that will raise awareness about the social determinants of health.</w:t>
      </w:r>
    </w:p>
    <w:p w14:paraId="33423D05" w14:textId="77777777" w:rsidR="00C25863" w:rsidRDefault="00C25863" w:rsidP="00C25863">
      <w:pPr>
        <w:pStyle w:val="NormalWeb"/>
        <w:spacing w:before="0" w:beforeAutospacing="0" w:after="0" w:afterAutospacing="0" w:line="480" w:lineRule="auto"/>
        <w:jc w:val="center"/>
        <w:rPr>
          <w:b/>
          <w:bCs/>
          <w:color w:val="0E101A"/>
          <w:lang w:val="en-US"/>
        </w:rPr>
      </w:pPr>
    </w:p>
    <w:p w14:paraId="1D365470" w14:textId="77777777" w:rsidR="00C25863" w:rsidRDefault="00C25863" w:rsidP="00C25863">
      <w:pPr>
        <w:pStyle w:val="NormalWeb"/>
        <w:spacing w:before="0" w:beforeAutospacing="0" w:after="0" w:afterAutospacing="0" w:line="480" w:lineRule="auto"/>
        <w:jc w:val="center"/>
        <w:rPr>
          <w:b/>
          <w:bCs/>
          <w:color w:val="0E101A"/>
          <w:lang w:val="en-US"/>
        </w:rPr>
      </w:pPr>
    </w:p>
    <w:p w14:paraId="0F699F93" w14:textId="77777777" w:rsidR="00C25863" w:rsidRDefault="00C25863" w:rsidP="00C25863">
      <w:pPr>
        <w:pStyle w:val="NormalWeb"/>
        <w:spacing w:before="0" w:beforeAutospacing="0" w:after="0" w:afterAutospacing="0" w:line="480" w:lineRule="auto"/>
        <w:jc w:val="center"/>
        <w:rPr>
          <w:b/>
          <w:bCs/>
          <w:color w:val="0E101A"/>
          <w:lang w:val="en-US"/>
        </w:rPr>
      </w:pPr>
    </w:p>
    <w:p w14:paraId="57312A73" w14:textId="77777777" w:rsidR="00C25863" w:rsidRDefault="00C25863" w:rsidP="00C25863">
      <w:pPr>
        <w:pStyle w:val="NormalWeb"/>
        <w:spacing w:before="0" w:beforeAutospacing="0" w:after="0" w:afterAutospacing="0" w:line="480" w:lineRule="auto"/>
        <w:jc w:val="center"/>
        <w:rPr>
          <w:b/>
          <w:bCs/>
          <w:color w:val="0E101A"/>
          <w:lang w:val="en-US"/>
        </w:rPr>
      </w:pPr>
    </w:p>
    <w:p w14:paraId="029E47A7" w14:textId="77777777" w:rsidR="00C25863" w:rsidRDefault="00C25863" w:rsidP="00C25863">
      <w:pPr>
        <w:pStyle w:val="NormalWeb"/>
        <w:spacing w:before="0" w:beforeAutospacing="0" w:after="0" w:afterAutospacing="0" w:line="480" w:lineRule="auto"/>
        <w:jc w:val="center"/>
        <w:rPr>
          <w:b/>
          <w:bCs/>
          <w:color w:val="0E101A"/>
          <w:lang w:val="en-US"/>
        </w:rPr>
      </w:pPr>
    </w:p>
    <w:p w14:paraId="749D7C65" w14:textId="77777777" w:rsidR="00C25863" w:rsidRDefault="00C25863" w:rsidP="00C25863">
      <w:pPr>
        <w:pStyle w:val="NormalWeb"/>
        <w:spacing w:before="0" w:beforeAutospacing="0" w:after="0" w:afterAutospacing="0" w:line="480" w:lineRule="auto"/>
        <w:jc w:val="center"/>
        <w:rPr>
          <w:b/>
          <w:bCs/>
          <w:color w:val="0E101A"/>
          <w:lang w:val="en-US"/>
        </w:rPr>
      </w:pPr>
    </w:p>
    <w:p w14:paraId="78E7C575" w14:textId="77777777" w:rsidR="00C25863" w:rsidRDefault="00C25863" w:rsidP="00C25863">
      <w:pPr>
        <w:pStyle w:val="NormalWeb"/>
        <w:spacing w:before="0" w:beforeAutospacing="0" w:after="0" w:afterAutospacing="0" w:line="480" w:lineRule="auto"/>
        <w:jc w:val="center"/>
        <w:rPr>
          <w:b/>
          <w:bCs/>
          <w:color w:val="0E101A"/>
          <w:lang w:val="en-US"/>
        </w:rPr>
      </w:pPr>
    </w:p>
    <w:p w14:paraId="0407D8DA" w14:textId="77777777" w:rsidR="00C25863" w:rsidRDefault="00C25863" w:rsidP="00C25863">
      <w:pPr>
        <w:pStyle w:val="NormalWeb"/>
        <w:spacing w:before="0" w:beforeAutospacing="0" w:after="0" w:afterAutospacing="0" w:line="480" w:lineRule="auto"/>
        <w:jc w:val="center"/>
        <w:rPr>
          <w:b/>
          <w:bCs/>
          <w:color w:val="0E101A"/>
          <w:lang w:val="en-US"/>
        </w:rPr>
      </w:pPr>
    </w:p>
    <w:p w14:paraId="518CE94C" w14:textId="77777777" w:rsidR="00C25863" w:rsidRDefault="00C25863" w:rsidP="00C25863">
      <w:pPr>
        <w:pStyle w:val="NormalWeb"/>
        <w:spacing w:before="0" w:beforeAutospacing="0" w:after="0" w:afterAutospacing="0" w:line="480" w:lineRule="auto"/>
        <w:jc w:val="center"/>
        <w:rPr>
          <w:b/>
          <w:bCs/>
          <w:color w:val="0E101A"/>
          <w:lang w:val="en-US"/>
        </w:rPr>
      </w:pPr>
    </w:p>
    <w:p w14:paraId="71FB6EF3" w14:textId="77777777" w:rsidR="00C25863" w:rsidRDefault="00C25863" w:rsidP="00C25863">
      <w:pPr>
        <w:pStyle w:val="NormalWeb"/>
        <w:spacing w:before="0" w:beforeAutospacing="0" w:after="0" w:afterAutospacing="0" w:line="480" w:lineRule="auto"/>
        <w:jc w:val="center"/>
        <w:rPr>
          <w:b/>
          <w:bCs/>
          <w:color w:val="0E101A"/>
          <w:lang w:val="en-US"/>
        </w:rPr>
      </w:pPr>
    </w:p>
    <w:p w14:paraId="7DF05428" w14:textId="77777777" w:rsidR="00C25863" w:rsidRDefault="00C25863" w:rsidP="00C25863">
      <w:pPr>
        <w:pStyle w:val="NormalWeb"/>
        <w:spacing w:before="0" w:beforeAutospacing="0" w:after="0" w:afterAutospacing="0" w:line="480" w:lineRule="auto"/>
        <w:jc w:val="center"/>
        <w:rPr>
          <w:b/>
          <w:bCs/>
          <w:color w:val="0E101A"/>
          <w:lang w:val="en-US"/>
        </w:rPr>
      </w:pPr>
    </w:p>
    <w:p w14:paraId="3F454EF0" w14:textId="77777777" w:rsidR="00C25863" w:rsidRDefault="00C25863" w:rsidP="00C25863">
      <w:pPr>
        <w:pStyle w:val="NormalWeb"/>
        <w:spacing w:before="0" w:beforeAutospacing="0" w:after="0" w:afterAutospacing="0" w:line="480" w:lineRule="auto"/>
        <w:jc w:val="center"/>
        <w:rPr>
          <w:b/>
          <w:bCs/>
          <w:color w:val="0E101A"/>
          <w:lang w:val="en-US"/>
        </w:rPr>
      </w:pPr>
    </w:p>
    <w:p w14:paraId="433ABB73" w14:textId="77777777" w:rsidR="00C25863" w:rsidRDefault="00C25863" w:rsidP="00C25863">
      <w:pPr>
        <w:pStyle w:val="NormalWeb"/>
        <w:spacing w:before="0" w:beforeAutospacing="0" w:after="0" w:afterAutospacing="0" w:line="480" w:lineRule="auto"/>
        <w:jc w:val="center"/>
        <w:rPr>
          <w:b/>
          <w:bCs/>
          <w:color w:val="0E101A"/>
          <w:lang w:val="en-US"/>
        </w:rPr>
      </w:pPr>
    </w:p>
    <w:p w14:paraId="17224A26" w14:textId="77777777" w:rsidR="00C25863" w:rsidRDefault="00C25863" w:rsidP="00C25863">
      <w:pPr>
        <w:pStyle w:val="NormalWeb"/>
        <w:spacing w:before="0" w:beforeAutospacing="0" w:after="0" w:afterAutospacing="0" w:line="480" w:lineRule="auto"/>
        <w:jc w:val="center"/>
        <w:rPr>
          <w:b/>
          <w:bCs/>
          <w:color w:val="0E101A"/>
          <w:lang w:val="en-US"/>
        </w:rPr>
      </w:pPr>
    </w:p>
    <w:p w14:paraId="2D536F44" w14:textId="3F3609C9" w:rsidR="00065C52" w:rsidRPr="00C25863" w:rsidRDefault="00065C52" w:rsidP="00C25863">
      <w:pPr>
        <w:pStyle w:val="NormalWeb"/>
        <w:spacing w:before="0" w:beforeAutospacing="0" w:after="0" w:afterAutospacing="0" w:line="480" w:lineRule="auto"/>
        <w:jc w:val="center"/>
        <w:rPr>
          <w:b/>
          <w:bCs/>
          <w:color w:val="0E101A"/>
          <w:lang w:val="en-US"/>
        </w:rPr>
      </w:pPr>
      <w:r w:rsidRPr="00C25863">
        <w:rPr>
          <w:b/>
          <w:bCs/>
          <w:color w:val="0E101A"/>
          <w:lang w:val="en-US"/>
        </w:rPr>
        <w:t>References</w:t>
      </w:r>
    </w:p>
    <w:p w14:paraId="299E4BDD" w14:textId="77777777" w:rsidR="00C25863" w:rsidRPr="00877CCB" w:rsidRDefault="00C25863" w:rsidP="00C25863">
      <w:pPr>
        <w:spacing w:after="0" w:line="480" w:lineRule="auto"/>
        <w:rPr>
          <w:rFonts w:ascii="Times New Roman" w:eastAsia="Times New Roman" w:hAnsi="Times New Roman" w:cs="Times New Roman"/>
          <w:sz w:val="24"/>
          <w:szCs w:val="24"/>
          <w:lang w:val="en-KE" w:eastAsia="en-KE"/>
        </w:rPr>
      </w:pPr>
      <w:r w:rsidRPr="00877CCB">
        <w:rPr>
          <w:rFonts w:ascii="Times New Roman" w:eastAsia="Times New Roman" w:hAnsi="Times New Roman" w:cs="Times New Roman"/>
          <w:sz w:val="24"/>
          <w:szCs w:val="24"/>
          <w:lang w:val="en-KE" w:eastAsia="en-KE"/>
        </w:rPr>
        <w:t>Artiga, S., &amp; Hinton, E. (2019). Beyond health care: the role of social determinants in promoting</w:t>
      </w:r>
      <w:r>
        <w:rPr>
          <w:rFonts w:ascii="Times New Roman" w:eastAsia="Times New Roman" w:hAnsi="Times New Roman" w:cs="Times New Roman"/>
          <w:sz w:val="24"/>
          <w:szCs w:val="24"/>
          <w:lang w:val="en-KE" w:eastAsia="en-KE"/>
        </w:rPr>
        <w:tab/>
      </w:r>
      <w:r w:rsidRPr="00877CCB">
        <w:rPr>
          <w:rFonts w:ascii="Times New Roman" w:eastAsia="Times New Roman" w:hAnsi="Times New Roman" w:cs="Times New Roman"/>
          <w:sz w:val="24"/>
          <w:szCs w:val="24"/>
          <w:lang w:val="en-KE" w:eastAsia="en-KE"/>
        </w:rPr>
        <w:t xml:space="preserve">health and health equity. </w:t>
      </w:r>
      <w:r w:rsidRPr="00877CCB">
        <w:rPr>
          <w:rFonts w:ascii="Times New Roman" w:eastAsia="Times New Roman" w:hAnsi="Times New Roman" w:cs="Times New Roman"/>
          <w:i/>
          <w:iCs/>
          <w:sz w:val="24"/>
          <w:szCs w:val="24"/>
          <w:lang w:val="en-KE" w:eastAsia="en-KE"/>
        </w:rPr>
        <w:t>Health</w:t>
      </w:r>
      <w:r w:rsidRPr="00877CCB">
        <w:rPr>
          <w:rFonts w:ascii="Times New Roman" w:eastAsia="Times New Roman" w:hAnsi="Times New Roman" w:cs="Times New Roman"/>
          <w:sz w:val="24"/>
          <w:szCs w:val="24"/>
          <w:lang w:val="en-KE" w:eastAsia="en-KE"/>
        </w:rPr>
        <w:t xml:space="preserve">, </w:t>
      </w:r>
      <w:r w:rsidRPr="00877CCB">
        <w:rPr>
          <w:rFonts w:ascii="Times New Roman" w:eastAsia="Times New Roman" w:hAnsi="Times New Roman" w:cs="Times New Roman"/>
          <w:i/>
          <w:iCs/>
          <w:sz w:val="24"/>
          <w:szCs w:val="24"/>
          <w:lang w:val="en-KE" w:eastAsia="en-KE"/>
        </w:rPr>
        <w:t>20</w:t>
      </w:r>
      <w:r w:rsidRPr="00877CCB">
        <w:rPr>
          <w:rFonts w:ascii="Times New Roman" w:eastAsia="Times New Roman" w:hAnsi="Times New Roman" w:cs="Times New Roman"/>
          <w:sz w:val="24"/>
          <w:szCs w:val="24"/>
          <w:lang w:val="en-KE" w:eastAsia="en-KE"/>
        </w:rPr>
        <w:t>(10), 1-13.</w:t>
      </w:r>
    </w:p>
    <w:p w14:paraId="38D122D2" w14:textId="77777777" w:rsidR="00C25863" w:rsidRPr="00877CCB" w:rsidRDefault="00C25863" w:rsidP="00C25863">
      <w:pPr>
        <w:spacing w:after="0" w:line="480" w:lineRule="auto"/>
        <w:rPr>
          <w:rFonts w:ascii="Times New Roman" w:eastAsia="Times New Roman" w:hAnsi="Times New Roman" w:cs="Times New Roman"/>
          <w:sz w:val="24"/>
          <w:szCs w:val="24"/>
          <w:lang w:val="en-KE" w:eastAsia="en-KE"/>
        </w:rPr>
      </w:pPr>
      <w:r w:rsidRPr="00877CCB">
        <w:rPr>
          <w:rFonts w:ascii="Times New Roman" w:eastAsia="Times New Roman" w:hAnsi="Times New Roman" w:cs="Times New Roman"/>
          <w:sz w:val="24"/>
          <w:szCs w:val="24"/>
          <w:lang w:val="en-KE" w:eastAsia="en-KE"/>
        </w:rPr>
        <w:t>Brennan Ramirez, L. K., Baker, E. A., &amp; Metzler, M. (2008). Promoting health equity; a</w:t>
      </w:r>
      <w:r>
        <w:rPr>
          <w:rFonts w:ascii="Times New Roman" w:eastAsia="Times New Roman" w:hAnsi="Times New Roman" w:cs="Times New Roman"/>
          <w:sz w:val="24"/>
          <w:szCs w:val="24"/>
          <w:lang w:val="en-KE" w:eastAsia="en-KE"/>
        </w:rPr>
        <w:tab/>
      </w:r>
      <w:r w:rsidRPr="00877CCB">
        <w:rPr>
          <w:rFonts w:ascii="Times New Roman" w:eastAsia="Times New Roman" w:hAnsi="Times New Roman" w:cs="Times New Roman"/>
          <w:sz w:val="24"/>
          <w:szCs w:val="24"/>
          <w:lang w:val="en-KE" w:eastAsia="en-KE"/>
        </w:rPr>
        <w:t>resource to help communities address social determinants of health.</w:t>
      </w:r>
    </w:p>
    <w:p w14:paraId="4A319B58" w14:textId="77777777" w:rsidR="00C25863" w:rsidRPr="00C25863" w:rsidRDefault="00C25863" w:rsidP="00C25863">
      <w:pPr>
        <w:spacing w:after="0" w:line="480" w:lineRule="auto"/>
        <w:rPr>
          <w:rFonts w:ascii="Times New Roman" w:eastAsia="Times New Roman" w:hAnsi="Times New Roman" w:cs="Times New Roman"/>
          <w:sz w:val="24"/>
          <w:szCs w:val="24"/>
          <w:lang w:val="en-KE" w:eastAsia="en-KE"/>
        </w:rPr>
      </w:pPr>
      <w:r w:rsidRPr="00877CCB">
        <w:rPr>
          <w:rFonts w:ascii="Times New Roman" w:eastAsia="Times New Roman" w:hAnsi="Times New Roman" w:cs="Times New Roman"/>
          <w:sz w:val="24"/>
          <w:szCs w:val="24"/>
          <w:lang w:val="en-KE" w:eastAsia="en-KE"/>
        </w:rPr>
        <w:t>Dean, H. D., &amp; Fenton, K. A. (2010). Addressing social determinants of health in the prevention</w:t>
      </w:r>
      <w:r>
        <w:rPr>
          <w:rFonts w:ascii="Times New Roman" w:eastAsia="Times New Roman" w:hAnsi="Times New Roman" w:cs="Times New Roman"/>
          <w:sz w:val="24"/>
          <w:szCs w:val="24"/>
          <w:lang w:val="en-KE" w:eastAsia="en-KE"/>
        </w:rPr>
        <w:tab/>
      </w:r>
      <w:r w:rsidRPr="00877CCB">
        <w:rPr>
          <w:rFonts w:ascii="Times New Roman" w:eastAsia="Times New Roman" w:hAnsi="Times New Roman" w:cs="Times New Roman"/>
          <w:sz w:val="24"/>
          <w:szCs w:val="24"/>
          <w:lang w:val="en-KE" w:eastAsia="en-KE"/>
        </w:rPr>
        <w:t>and control of HIV/AIDS, viral hepatitis, sexually transmitted infections, and</w:t>
      </w:r>
      <w:r>
        <w:rPr>
          <w:rFonts w:ascii="Times New Roman" w:eastAsia="Times New Roman" w:hAnsi="Times New Roman" w:cs="Times New Roman"/>
          <w:sz w:val="24"/>
          <w:szCs w:val="24"/>
          <w:lang w:val="en-KE" w:eastAsia="en-KE"/>
        </w:rPr>
        <w:tab/>
      </w:r>
      <w:r w:rsidRPr="00877CCB">
        <w:rPr>
          <w:rFonts w:ascii="Times New Roman" w:eastAsia="Times New Roman" w:hAnsi="Times New Roman" w:cs="Times New Roman"/>
          <w:sz w:val="24"/>
          <w:szCs w:val="24"/>
          <w:lang w:val="en-KE" w:eastAsia="en-KE"/>
        </w:rPr>
        <w:t>tuberculosis.</w:t>
      </w:r>
    </w:p>
    <w:p w14:paraId="6C215CA0" w14:textId="77777777" w:rsidR="00C25863" w:rsidRPr="00877CCB" w:rsidRDefault="00C25863" w:rsidP="00C25863">
      <w:pPr>
        <w:spacing w:after="0" w:line="480" w:lineRule="auto"/>
        <w:rPr>
          <w:rFonts w:ascii="Times New Roman" w:eastAsia="Times New Roman" w:hAnsi="Times New Roman" w:cs="Times New Roman"/>
          <w:sz w:val="24"/>
          <w:szCs w:val="24"/>
          <w:lang w:val="en-KE" w:eastAsia="en-KE"/>
        </w:rPr>
      </w:pPr>
      <w:r w:rsidRPr="00877CCB">
        <w:rPr>
          <w:rFonts w:ascii="Times New Roman" w:eastAsia="Times New Roman" w:hAnsi="Times New Roman" w:cs="Times New Roman"/>
          <w:sz w:val="24"/>
          <w:szCs w:val="24"/>
          <w:lang w:val="en-KE" w:eastAsia="en-KE"/>
        </w:rPr>
        <w:t>Denning, P., &amp; DiNenno, E. (2010, July). Communities in crisis: is there a generalized HIV</w:t>
      </w:r>
      <w:r>
        <w:rPr>
          <w:rFonts w:ascii="Times New Roman" w:eastAsia="Times New Roman" w:hAnsi="Times New Roman" w:cs="Times New Roman"/>
          <w:sz w:val="24"/>
          <w:szCs w:val="24"/>
          <w:lang w:val="en-KE" w:eastAsia="en-KE"/>
        </w:rPr>
        <w:tab/>
      </w:r>
      <w:r w:rsidRPr="00877CCB">
        <w:rPr>
          <w:rFonts w:ascii="Times New Roman" w:eastAsia="Times New Roman" w:hAnsi="Times New Roman" w:cs="Times New Roman"/>
          <w:sz w:val="24"/>
          <w:szCs w:val="24"/>
          <w:lang w:val="en-KE" w:eastAsia="en-KE"/>
        </w:rPr>
        <w:t xml:space="preserve">epidemic in impoverished urban areas of the United States. In </w:t>
      </w:r>
      <w:r w:rsidRPr="00877CCB">
        <w:rPr>
          <w:rFonts w:ascii="Times New Roman" w:eastAsia="Times New Roman" w:hAnsi="Times New Roman" w:cs="Times New Roman"/>
          <w:i/>
          <w:iCs/>
          <w:sz w:val="24"/>
          <w:szCs w:val="24"/>
          <w:lang w:val="en-KE" w:eastAsia="en-KE"/>
        </w:rPr>
        <w:t>XVIII international AIDS</w:t>
      </w:r>
      <w:r>
        <w:rPr>
          <w:rFonts w:ascii="Times New Roman" w:eastAsia="Times New Roman" w:hAnsi="Times New Roman" w:cs="Times New Roman"/>
          <w:i/>
          <w:iCs/>
          <w:sz w:val="24"/>
          <w:szCs w:val="24"/>
          <w:lang w:val="en-KE" w:eastAsia="en-KE"/>
        </w:rPr>
        <w:tab/>
      </w:r>
      <w:r w:rsidRPr="00877CCB">
        <w:rPr>
          <w:rFonts w:ascii="Times New Roman" w:eastAsia="Times New Roman" w:hAnsi="Times New Roman" w:cs="Times New Roman"/>
          <w:i/>
          <w:iCs/>
          <w:sz w:val="24"/>
          <w:szCs w:val="24"/>
          <w:lang w:val="en-KE" w:eastAsia="en-KE"/>
        </w:rPr>
        <w:t>conference</w:t>
      </w:r>
      <w:r w:rsidRPr="00877CCB">
        <w:rPr>
          <w:rFonts w:ascii="Times New Roman" w:eastAsia="Times New Roman" w:hAnsi="Times New Roman" w:cs="Times New Roman"/>
          <w:sz w:val="24"/>
          <w:szCs w:val="24"/>
          <w:lang w:val="en-KE" w:eastAsia="en-KE"/>
        </w:rPr>
        <w:t xml:space="preserve"> (Vol. 1).</w:t>
      </w:r>
    </w:p>
    <w:p w14:paraId="56EB6846" w14:textId="77777777" w:rsidR="00C25863" w:rsidRPr="00065C52" w:rsidRDefault="00C25863" w:rsidP="00C25863">
      <w:pPr>
        <w:spacing w:after="0" w:line="480" w:lineRule="auto"/>
        <w:rPr>
          <w:rFonts w:ascii="Times New Roman" w:eastAsia="Times New Roman" w:hAnsi="Times New Roman" w:cs="Times New Roman"/>
          <w:sz w:val="24"/>
          <w:szCs w:val="24"/>
          <w:lang w:val="en-KE" w:eastAsia="en-KE"/>
        </w:rPr>
      </w:pPr>
      <w:r w:rsidRPr="00065C52">
        <w:rPr>
          <w:rFonts w:ascii="Times New Roman" w:eastAsia="Times New Roman" w:hAnsi="Times New Roman" w:cs="Times New Roman"/>
          <w:sz w:val="24"/>
          <w:szCs w:val="24"/>
          <w:lang w:val="en-KE" w:eastAsia="en-KE"/>
        </w:rPr>
        <w:t>Edwards, A. E., &amp; Collins Jr, C. B. (2014). Exploring the influence of social determinants on</w:t>
      </w:r>
      <w:r>
        <w:rPr>
          <w:rFonts w:ascii="Times New Roman" w:eastAsia="Times New Roman" w:hAnsi="Times New Roman" w:cs="Times New Roman"/>
          <w:sz w:val="24"/>
          <w:szCs w:val="24"/>
          <w:lang w:val="en-KE" w:eastAsia="en-KE"/>
        </w:rPr>
        <w:tab/>
      </w:r>
      <w:r w:rsidRPr="00065C52">
        <w:rPr>
          <w:rFonts w:ascii="Times New Roman" w:eastAsia="Times New Roman" w:hAnsi="Times New Roman" w:cs="Times New Roman"/>
          <w:sz w:val="24"/>
          <w:szCs w:val="24"/>
          <w:lang w:val="en-KE" w:eastAsia="en-KE"/>
        </w:rPr>
        <w:t>HIV risk behaviors and the potential application of structural interventions to prevent</w:t>
      </w:r>
      <w:r>
        <w:rPr>
          <w:rFonts w:ascii="Times New Roman" w:eastAsia="Times New Roman" w:hAnsi="Times New Roman" w:cs="Times New Roman"/>
          <w:sz w:val="24"/>
          <w:szCs w:val="24"/>
          <w:lang w:val="en-KE" w:eastAsia="en-KE"/>
        </w:rPr>
        <w:tab/>
      </w:r>
      <w:r w:rsidRPr="00065C52">
        <w:rPr>
          <w:rFonts w:ascii="Times New Roman" w:eastAsia="Times New Roman" w:hAnsi="Times New Roman" w:cs="Times New Roman"/>
          <w:sz w:val="24"/>
          <w:szCs w:val="24"/>
          <w:lang w:val="en-KE" w:eastAsia="en-KE"/>
        </w:rPr>
        <w:t xml:space="preserve">HIV in women. </w:t>
      </w:r>
      <w:r w:rsidRPr="00065C52">
        <w:rPr>
          <w:rFonts w:ascii="Times New Roman" w:eastAsia="Times New Roman" w:hAnsi="Times New Roman" w:cs="Times New Roman"/>
          <w:i/>
          <w:iCs/>
          <w:sz w:val="24"/>
          <w:szCs w:val="24"/>
          <w:lang w:val="en-KE" w:eastAsia="en-KE"/>
        </w:rPr>
        <w:t>Journal of health disparities research and practice</w:t>
      </w:r>
      <w:r w:rsidRPr="00065C52">
        <w:rPr>
          <w:rFonts w:ascii="Times New Roman" w:eastAsia="Times New Roman" w:hAnsi="Times New Roman" w:cs="Times New Roman"/>
          <w:sz w:val="24"/>
          <w:szCs w:val="24"/>
          <w:lang w:val="en-KE" w:eastAsia="en-KE"/>
        </w:rPr>
        <w:t xml:space="preserve">, </w:t>
      </w:r>
      <w:r w:rsidRPr="00065C52">
        <w:rPr>
          <w:rFonts w:ascii="Times New Roman" w:eastAsia="Times New Roman" w:hAnsi="Times New Roman" w:cs="Times New Roman"/>
          <w:i/>
          <w:iCs/>
          <w:sz w:val="24"/>
          <w:szCs w:val="24"/>
          <w:lang w:val="en-KE" w:eastAsia="en-KE"/>
        </w:rPr>
        <w:t>7</w:t>
      </w:r>
      <w:r w:rsidRPr="00065C52">
        <w:rPr>
          <w:rFonts w:ascii="Times New Roman" w:eastAsia="Times New Roman" w:hAnsi="Times New Roman" w:cs="Times New Roman"/>
          <w:sz w:val="24"/>
          <w:szCs w:val="24"/>
          <w:lang w:val="en-KE" w:eastAsia="en-KE"/>
        </w:rPr>
        <w:t>(SI2), 141.</w:t>
      </w:r>
    </w:p>
    <w:p w14:paraId="0BEC4F7D" w14:textId="77738822" w:rsidR="00B210BA" w:rsidRPr="00C25863" w:rsidRDefault="00B210BA" w:rsidP="00C25863">
      <w:pPr>
        <w:spacing w:after="0" w:line="480" w:lineRule="auto"/>
        <w:rPr>
          <w:rFonts w:ascii="Times New Roman" w:hAnsi="Times New Roman" w:cs="Times New Roman"/>
          <w:sz w:val="24"/>
          <w:szCs w:val="24"/>
        </w:rPr>
      </w:pPr>
    </w:p>
    <w:sectPr w:rsidR="00B210BA" w:rsidRPr="00C25863">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49905A" w14:textId="77777777" w:rsidR="004828E3" w:rsidRDefault="004828E3" w:rsidP="00065C52">
      <w:pPr>
        <w:spacing w:after="0" w:line="240" w:lineRule="auto"/>
      </w:pPr>
      <w:r>
        <w:separator/>
      </w:r>
    </w:p>
  </w:endnote>
  <w:endnote w:type="continuationSeparator" w:id="0">
    <w:p w14:paraId="18B41C86" w14:textId="77777777" w:rsidR="004828E3" w:rsidRDefault="004828E3" w:rsidP="00065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C96B91" w14:textId="77777777" w:rsidR="004828E3" w:rsidRDefault="004828E3" w:rsidP="00065C52">
      <w:pPr>
        <w:spacing w:after="0" w:line="240" w:lineRule="auto"/>
      </w:pPr>
      <w:r>
        <w:separator/>
      </w:r>
    </w:p>
  </w:footnote>
  <w:footnote w:type="continuationSeparator" w:id="0">
    <w:p w14:paraId="6FA0C008" w14:textId="77777777" w:rsidR="004828E3" w:rsidRDefault="004828E3" w:rsidP="00065C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344660597"/>
      <w:docPartObj>
        <w:docPartGallery w:val="Page Numbers (Top of Page)"/>
        <w:docPartUnique/>
      </w:docPartObj>
    </w:sdtPr>
    <w:sdtEndPr>
      <w:rPr>
        <w:noProof/>
      </w:rPr>
    </w:sdtEndPr>
    <w:sdtContent>
      <w:p w14:paraId="20C1BAF3" w14:textId="2BDE04EB" w:rsidR="00065C52" w:rsidRPr="00065C52" w:rsidRDefault="00065C52" w:rsidP="00065C52">
        <w:pPr>
          <w:pStyle w:val="Header"/>
          <w:spacing w:line="480" w:lineRule="auto"/>
          <w:jc w:val="right"/>
          <w:rPr>
            <w:rFonts w:ascii="Times New Roman" w:hAnsi="Times New Roman" w:cs="Times New Roman"/>
            <w:sz w:val="24"/>
            <w:szCs w:val="24"/>
          </w:rPr>
        </w:pPr>
        <w:r w:rsidRPr="00065C52">
          <w:rPr>
            <w:rFonts w:ascii="Times New Roman" w:hAnsi="Times New Roman" w:cs="Times New Roman"/>
            <w:sz w:val="24"/>
            <w:szCs w:val="24"/>
          </w:rPr>
          <w:fldChar w:fldCharType="begin"/>
        </w:r>
        <w:r w:rsidRPr="00065C52">
          <w:rPr>
            <w:rFonts w:ascii="Times New Roman" w:hAnsi="Times New Roman" w:cs="Times New Roman"/>
            <w:sz w:val="24"/>
            <w:szCs w:val="24"/>
          </w:rPr>
          <w:instrText xml:space="preserve"> PAGE   \* MERGEFORMAT </w:instrText>
        </w:r>
        <w:r w:rsidRPr="00065C52">
          <w:rPr>
            <w:rFonts w:ascii="Times New Roman" w:hAnsi="Times New Roman" w:cs="Times New Roman"/>
            <w:sz w:val="24"/>
            <w:szCs w:val="24"/>
          </w:rPr>
          <w:fldChar w:fldCharType="separate"/>
        </w:r>
        <w:r w:rsidRPr="00065C52">
          <w:rPr>
            <w:rFonts w:ascii="Times New Roman" w:hAnsi="Times New Roman" w:cs="Times New Roman"/>
            <w:noProof/>
            <w:sz w:val="24"/>
            <w:szCs w:val="24"/>
          </w:rPr>
          <w:t>2</w:t>
        </w:r>
        <w:r w:rsidRPr="00065C5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4C3"/>
    <w:rsid w:val="00065C52"/>
    <w:rsid w:val="000803EB"/>
    <w:rsid w:val="000827A9"/>
    <w:rsid w:val="000E2F90"/>
    <w:rsid w:val="00213FCA"/>
    <w:rsid w:val="00220F4B"/>
    <w:rsid w:val="002838F2"/>
    <w:rsid w:val="002C66FF"/>
    <w:rsid w:val="004123D5"/>
    <w:rsid w:val="004828E3"/>
    <w:rsid w:val="005059B9"/>
    <w:rsid w:val="00586194"/>
    <w:rsid w:val="00590842"/>
    <w:rsid w:val="005E4FF3"/>
    <w:rsid w:val="006D14C3"/>
    <w:rsid w:val="00877CCB"/>
    <w:rsid w:val="009D4DEF"/>
    <w:rsid w:val="00A36F40"/>
    <w:rsid w:val="00AC2416"/>
    <w:rsid w:val="00B210BA"/>
    <w:rsid w:val="00C25863"/>
    <w:rsid w:val="00C947BB"/>
    <w:rsid w:val="00CF4617"/>
    <w:rsid w:val="00DD3FAC"/>
    <w:rsid w:val="00E375AB"/>
    <w:rsid w:val="00EF2290"/>
    <w:rsid w:val="00F02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77C39"/>
  <w15:chartTrackingRefBased/>
  <w15:docId w15:val="{E4D3A3AD-415A-4160-8FB9-6FB20EC08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5C52"/>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065C52"/>
    <w:rPr>
      <w:b/>
      <w:bCs/>
    </w:rPr>
  </w:style>
  <w:style w:type="paragraph" w:styleId="Header">
    <w:name w:val="header"/>
    <w:basedOn w:val="Normal"/>
    <w:link w:val="HeaderChar"/>
    <w:uiPriority w:val="99"/>
    <w:unhideWhenUsed/>
    <w:rsid w:val="00065C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C52"/>
  </w:style>
  <w:style w:type="paragraph" w:styleId="Footer">
    <w:name w:val="footer"/>
    <w:basedOn w:val="Normal"/>
    <w:link w:val="FooterChar"/>
    <w:uiPriority w:val="99"/>
    <w:unhideWhenUsed/>
    <w:rsid w:val="00065C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C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568894">
      <w:bodyDiv w:val="1"/>
      <w:marLeft w:val="0"/>
      <w:marRight w:val="0"/>
      <w:marTop w:val="0"/>
      <w:marBottom w:val="0"/>
      <w:divBdr>
        <w:top w:val="none" w:sz="0" w:space="0" w:color="auto"/>
        <w:left w:val="none" w:sz="0" w:space="0" w:color="auto"/>
        <w:bottom w:val="none" w:sz="0" w:space="0" w:color="auto"/>
        <w:right w:val="none" w:sz="0" w:space="0" w:color="auto"/>
      </w:divBdr>
      <w:divsChild>
        <w:div w:id="862790171">
          <w:marLeft w:val="0"/>
          <w:marRight w:val="0"/>
          <w:marTop w:val="0"/>
          <w:marBottom w:val="0"/>
          <w:divBdr>
            <w:top w:val="none" w:sz="0" w:space="0" w:color="auto"/>
            <w:left w:val="none" w:sz="0" w:space="0" w:color="auto"/>
            <w:bottom w:val="none" w:sz="0" w:space="0" w:color="auto"/>
            <w:right w:val="none" w:sz="0" w:space="0" w:color="auto"/>
          </w:divBdr>
        </w:div>
      </w:divsChild>
    </w:div>
    <w:div w:id="445347187">
      <w:bodyDiv w:val="1"/>
      <w:marLeft w:val="0"/>
      <w:marRight w:val="0"/>
      <w:marTop w:val="0"/>
      <w:marBottom w:val="0"/>
      <w:divBdr>
        <w:top w:val="none" w:sz="0" w:space="0" w:color="auto"/>
        <w:left w:val="none" w:sz="0" w:space="0" w:color="auto"/>
        <w:bottom w:val="none" w:sz="0" w:space="0" w:color="auto"/>
        <w:right w:val="none" w:sz="0" w:space="0" w:color="auto"/>
      </w:divBdr>
      <w:divsChild>
        <w:div w:id="846479245">
          <w:marLeft w:val="0"/>
          <w:marRight w:val="0"/>
          <w:marTop w:val="0"/>
          <w:marBottom w:val="0"/>
          <w:divBdr>
            <w:top w:val="none" w:sz="0" w:space="0" w:color="auto"/>
            <w:left w:val="none" w:sz="0" w:space="0" w:color="auto"/>
            <w:bottom w:val="none" w:sz="0" w:space="0" w:color="auto"/>
            <w:right w:val="none" w:sz="0" w:space="0" w:color="auto"/>
          </w:divBdr>
        </w:div>
      </w:divsChild>
    </w:div>
    <w:div w:id="854348265">
      <w:bodyDiv w:val="1"/>
      <w:marLeft w:val="0"/>
      <w:marRight w:val="0"/>
      <w:marTop w:val="0"/>
      <w:marBottom w:val="0"/>
      <w:divBdr>
        <w:top w:val="none" w:sz="0" w:space="0" w:color="auto"/>
        <w:left w:val="none" w:sz="0" w:space="0" w:color="auto"/>
        <w:bottom w:val="none" w:sz="0" w:space="0" w:color="auto"/>
        <w:right w:val="none" w:sz="0" w:space="0" w:color="auto"/>
      </w:divBdr>
    </w:div>
    <w:div w:id="959267446">
      <w:bodyDiv w:val="1"/>
      <w:marLeft w:val="0"/>
      <w:marRight w:val="0"/>
      <w:marTop w:val="0"/>
      <w:marBottom w:val="0"/>
      <w:divBdr>
        <w:top w:val="none" w:sz="0" w:space="0" w:color="auto"/>
        <w:left w:val="none" w:sz="0" w:space="0" w:color="auto"/>
        <w:bottom w:val="none" w:sz="0" w:space="0" w:color="auto"/>
        <w:right w:val="none" w:sz="0" w:space="0" w:color="auto"/>
      </w:divBdr>
      <w:divsChild>
        <w:div w:id="924992024">
          <w:marLeft w:val="0"/>
          <w:marRight w:val="0"/>
          <w:marTop w:val="0"/>
          <w:marBottom w:val="0"/>
          <w:divBdr>
            <w:top w:val="none" w:sz="0" w:space="0" w:color="auto"/>
            <w:left w:val="none" w:sz="0" w:space="0" w:color="auto"/>
            <w:bottom w:val="none" w:sz="0" w:space="0" w:color="auto"/>
            <w:right w:val="none" w:sz="0" w:space="0" w:color="auto"/>
          </w:divBdr>
        </w:div>
      </w:divsChild>
    </w:div>
    <w:div w:id="1003046697">
      <w:bodyDiv w:val="1"/>
      <w:marLeft w:val="0"/>
      <w:marRight w:val="0"/>
      <w:marTop w:val="0"/>
      <w:marBottom w:val="0"/>
      <w:divBdr>
        <w:top w:val="none" w:sz="0" w:space="0" w:color="auto"/>
        <w:left w:val="none" w:sz="0" w:space="0" w:color="auto"/>
        <w:bottom w:val="none" w:sz="0" w:space="0" w:color="auto"/>
        <w:right w:val="none" w:sz="0" w:space="0" w:color="auto"/>
      </w:divBdr>
    </w:div>
    <w:div w:id="1742560582">
      <w:bodyDiv w:val="1"/>
      <w:marLeft w:val="0"/>
      <w:marRight w:val="0"/>
      <w:marTop w:val="0"/>
      <w:marBottom w:val="0"/>
      <w:divBdr>
        <w:top w:val="none" w:sz="0" w:space="0" w:color="auto"/>
        <w:left w:val="none" w:sz="0" w:space="0" w:color="auto"/>
        <w:bottom w:val="none" w:sz="0" w:space="0" w:color="auto"/>
        <w:right w:val="none" w:sz="0" w:space="0" w:color="auto"/>
      </w:divBdr>
      <w:divsChild>
        <w:div w:id="441612819">
          <w:marLeft w:val="0"/>
          <w:marRight w:val="0"/>
          <w:marTop w:val="0"/>
          <w:marBottom w:val="0"/>
          <w:divBdr>
            <w:top w:val="none" w:sz="0" w:space="0" w:color="auto"/>
            <w:left w:val="none" w:sz="0" w:space="0" w:color="auto"/>
            <w:bottom w:val="none" w:sz="0" w:space="0" w:color="auto"/>
            <w:right w:val="none" w:sz="0" w:space="0" w:color="auto"/>
          </w:divBdr>
        </w:div>
      </w:divsChild>
    </w:div>
    <w:div w:id="2066366107">
      <w:bodyDiv w:val="1"/>
      <w:marLeft w:val="0"/>
      <w:marRight w:val="0"/>
      <w:marTop w:val="0"/>
      <w:marBottom w:val="0"/>
      <w:divBdr>
        <w:top w:val="none" w:sz="0" w:space="0" w:color="auto"/>
        <w:left w:val="none" w:sz="0" w:space="0" w:color="auto"/>
        <w:bottom w:val="none" w:sz="0" w:space="0" w:color="auto"/>
        <w:right w:val="none" w:sz="0" w:space="0" w:color="auto"/>
      </w:divBdr>
      <w:divsChild>
        <w:div w:id="9210639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8</Pages>
  <Words>1726</Words>
  <Characters>9842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2020-08-28T04:45:00Z</dcterms:created>
  <dcterms:modified xsi:type="dcterms:W3CDTF">2020-08-28T09:07:00Z</dcterms:modified>
</cp:coreProperties>
</file>