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BE7" w:rsidRPr="004F1AD9" w:rsidRDefault="00056BE7" w:rsidP="004F1AD9">
      <w:pPr>
        <w:spacing w:line="480" w:lineRule="auto"/>
        <w:rPr>
          <w:rFonts w:ascii="Times New Roman" w:hAnsi="Times New Roman" w:cs="Times New Roman"/>
          <w:b/>
          <w:sz w:val="24"/>
          <w:szCs w:val="24"/>
          <w:shd w:val="clear" w:color="auto" w:fill="FFFFFF"/>
        </w:rPr>
      </w:pPr>
    </w:p>
    <w:p w:rsidR="00056BE7" w:rsidRPr="004F1AD9" w:rsidRDefault="00056BE7" w:rsidP="004F1AD9">
      <w:pPr>
        <w:spacing w:line="480" w:lineRule="auto"/>
        <w:rPr>
          <w:rFonts w:ascii="Times New Roman" w:hAnsi="Times New Roman" w:cs="Times New Roman"/>
          <w:b/>
          <w:sz w:val="24"/>
          <w:szCs w:val="24"/>
          <w:shd w:val="clear" w:color="auto" w:fill="FFFFFF"/>
        </w:rPr>
      </w:pPr>
    </w:p>
    <w:p w:rsidR="00056BE7" w:rsidRPr="004F1AD9" w:rsidRDefault="00056BE7" w:rsidP="004F1AD9">
      <w:pPr>
        <w:spacing w:line="480" w:lineRule="auto"/>
        <w:rPr>
          <w:rFonts w:ascii="Times New Roman" w:hAnsi="Times New Roman" w:cs="Times New Roman"/>
          <w:b/>
          <w:sz w:val="24"/>
          <w:szCs w:val="24"/>
          <w:shd w:val="clear" w:color="auto" w:fill="FFFFFF"/>
        </w:rPr>
      </w:pPr>
    </w:p>
    <w:p w:rsidR="00056BE7" w:rsidRPr="004F1AD9" w:rsidRDefault="00056BE7" w:rsidP="004F1AD9">
      <w:pPr>
        <w:spacing w:line="480" w:lineRule="auto"/>
        <w:rPr>
          <w:rFonts w:ascii="Times New Roman" w:hAnsi="Times New Roman" w:cs="Times New Roman"/>
          <w:b/>
          <w:sz w:val="24"/>
          <w:szCs w:val="24"/>
          <w:shd w:val="clear" w:color="auto" w:fill="FFFFFF"/>
        </w:rPr>
      </w:pPr>
    </w:p>
    <w:p w:rsidR="00056BE7" w:rsidRPr="004F1AD9" w:rsidRDefault="00056BE7" w:rsidP="004F1AD9">
      <w:pPr>
        <w:spacing w:line="480" w:lineRule="auto"/>
        <w:rPr>
          <w:rFonts w:ascii="Times New Roman" w:hAnsi="Times New Roman" w:cs="Times New Roman"/>
          <w:b/>
          <w:sz w:val="24"/>
          <w:szCs w:val="24"/>
          <w:shd w:val="clear" w:color="auto" w:fill="FFFFFF"/>
        </w:rPr>
      </w:pPr>
    </w:p>
    <w:p w:rsidR="00056BE7" w:rsidRPr="004F1AD9" w:rsidRDefault="00056BE7" w:rsidP="004F1AD9">
      <w:pPr>
        <w:spacing w:line="480" w:lineRule="auto"/>
        <w:rPr>
          <w:rFonts w:ascii="Times New Roman" w:hAnsi="Times New Roman" w:cs="Times New Roman"/>
          <w:b/>
          <w:sz w:val="24"/>
          <w:szCs w:val="24"/>
          <w:shd w:val="clear" w:color="auto" w:fill="FFFFFF"/>
        </w:rPr>
      </w:pPr>
    </w:p>
    <w:p w:rsidR="00056BE7" w:rsidRPr="004F1AD9" w:rsidRDefault="00056BE7" w:rsidP="004F1AD9">
      <w:pPr>
        <w:spacing w:line="480" w:lineRule="auto"/>
        <w:jc w:val="center"/>
        <w:rPr>
          <w:rFonts w:ascii="Times New Roman" w:hAnsi="Times New Roman" w:cs="Times New Roman"/>
          <w:sz w:val="24"/>
          <w:szCs w:val="24"/>
        </w:rPr>
      </w:pPr>
      <w:r w:rsidRPr="004F1AD9">
        <w:rPr>
          <w:rFonts w:ascii="Times New Roman" w:hAnsi="Times New Roman" w:cs="Times New Roman"/>
          <w:sz w:val="24"/>
          <w:szCs w:val="24"/>
        </w:rPr>
        <w:t>Mobilization of Social Movements and Collective Action</w:t>
      </w:r>
    </w:p>
    <w:p w:rsidR="00056BE7" w:rsidRPr="004F1AD9" w:rsidRDefault="00056BE7" w:rsidP="004F1AD9">
      <w:pPr>
        <w:spacing w:line="480" w:lineRule="auto"/>
        <w:jc w:val="center"/>
        <w:rPr>
          <w:rFonts w:ascii="Times New Roman" w:hAnsi="Times New Roman" w:cs="Times New Roman"/>
          <w:sz w:val="24"/>
          <w:szCs w:val="24"/>
        </w:rPr>
      </w:pPr>
      <w:r w:rsidRPr="004F1AD9">
        <w:rPr>
          <w:rFonts w:ascii="Times New Roman" w:hAnsi="Times New Roman" w:cs="Times New Roman"/>
          <w:sz w:val="24"/>
          <w:szCs w:val="24"/>
        </w:rPr>
        <w:t>Name of Student</w:t>
      </w:r>
    </w:p>
    <w:p w:rsidR="00056BE7" w:rsidRPr="004F1AD9" w:rsidRDefault="00056BE7" w:rsidP="004F1AD9">
      <w:pPr>
        <w:spacing w:line="480" w:lineRule="auto"/>
        <w:jc w:val="center"/>
        <w:rPr>
          <w:rFonts w:ascii="Times New Roman" w:hAnsi="Times New Roman" w:cs="Times New Roman"/>
          <w:sz w:val="24"/>
          <w:szCs w:val="24"/>
        </w:rPr>
      </w:pPr>
      <w:r w:rsidRPr="004F1AD9">
        <w:rPr>
          <w:rFonts w:ascii="Times New Roman" w:hAnsi="Times New Roman" w:cs="Times New Roman"/>
          <w:sz w:val="24"/>
          <w:szCs w:val="24"/>
        </w:rPr>
        <w:t>Name of Institution</w:t>
      </w:r>
    </w:p>
    <w:p w:rsidR="00056BE7" w:rsidRPr="004F1AD9" w:rsidRDefault="00056BE7" w:rsidP="004F1AD9">
      <w:pPr>
        <w:spacing w:line="480" w:lineRule="auto"/>
        <w:jc w:val="center"/>
        <w:rPr>
          <w:rFonts w:ascii="Times New Roman" w:hAnsi="Times New Roman" w:cs="Times New Roman"/>
          <w:b/>
          <w:sz w:val="24"/>
          <w:szCs w:val="24"/>
          <w:shd w:val="clear" w:color="auto" w:fill="FFFFFF"/>
        </w:rPr>
      </w:pPr>
      <w:r w:rsidRPr="004F1AD9">
        <w:rPr>
          <w:rFonts w:ascii="Times New Roman" w:hAnsi="Times New Roman" w:cs="Times New Roman"/>
          <w:sz w:val="24"/>
          <w:szCs w:val="24"/>
        </w:rPr>
        <w:t>Date</w:t>
      </w:r>
      <w:r w:rsidRPr="004F1AD9">
        <w:rPr>
          <w:rFonts w:ascii="Times New Roman" w:hAnsi="Times New Roman" w:cs="Times New Roman"/>
          <w:b/>
          <w:sz w:val="24"/>
          <w:szCs w:val="24"/>
          <w:shd w:val="clear" w:color="auto" w:fill="FFFFFF"/>
        </w:rPr>
        <w:t xml:space="preserve"> </w:t>
      </w:r>
      <w:r w:rsidRPr="004F1AD9">
        <w:rPr>
          <w:rFonts w:ascii="Times New Roman" w:hAnsi="Times New Roman" w:cs="Times New Roman"/>
          <w:b/>
          <w:sz w:val="24"/>
          <w:szCs w:val="24"/>
          <w:shd w:val="clear" w:color="auto" w:fill="FFFFFF"/>
        </w:rPr>
        <w:br w:type="page"/>
      </w:r>
    </w:p>
    <w:p w:rsidR="00F617B3" w:rsidRPr="004F1AD9" w:rsidRDefault="00C7424C" w:rsidP="004F1AD9">
      <w:pPr>
        <w:spacing w:line="480" w:lineRule="auto"/>
        <w:ind w:firstLine="720"/>
        <w:rPr>
          <w:rFonts w:ascii="Times New Roman" w:hAnsi="Times New Roman" w:cs="Times New Roman"/>
          <w:sz w:val="24"/>
          <w:szCs w:val="24"/>
          <w:shd w:val="clear" w:color="auto" w:fill="FFFFFF"/>
        </w:rPr>
      </w:pPr>
      <w:r w:rsidRPr="004F1AD9">
        <w:rPr>
          <w:rFonts w:ascii="Times New Roman" w:hAnsi="Times New Roman" w:cs="Times New Roman"/>
          <w:sz w:val="24"/>
          <w:szCs w:val="24"/>
          <w:shd w:val="clear" w:color="auto" w:fill="FFFFFF"/>
        </w:rPr>
        <w:lastRenderedPageBreak/>
        <w:t xml:space="preserve">The reading provided the context of mobilization and recruitment of actors into a movement. It entailed details about importance of formation of movements, and the entire process of formation. Critical analytic factors are presented in the reading such as the purview of leaders and actors and economical mindset when dealing with resources. The reading also detailed micro-level structures within a movement. Though, more often than not, grievances were the binding element towards the cause for the group, each participant required different concepts to commit to a cause. The reading offered up the </w:t>
      </w:r>
      <w:r w:rsidR="00CA7D60" w:rsidRPr="004F1AD9">
        <w:rPr>
          <w:rFonts w:ascii="Times New Roman" w:hAnsi="Times New Roman" w:cs="Times New Roman"/>
          <w:sz w:val="24"/>
          <w:szCs w:val="24"/>
          <w:shd w:val="clear" w:color="auto" w:fill="FFFFFF"/>
        </w:rPr>
        <w:t xml:space="preserve">rationale to delineate from concepts that are appealing to specific individuals during a movement and those that align to a group of people. Evaluation of key actors for a collective action is detailed with theories and notions that would appeal to them. The reading is crucial in understanding the formation of movements, and tactics employed to mobilize under a cause towards a collective reward. However, the book also speculated that grievances are not a necessity in the formation of movements and collective actions. </w:t>
      </w:r>
    </w:p>
    <w:p w:rsidR="00000000" w:rsidRPr="004F1AD9" w:rsidRDefault="00F617B3" w:rsidP="004F1AD9">
      <w:pPr>
        <w:spacing w:line="480" w:lineRule="auto"/>
        <w:rPr>
          <w:rFonts w:ascii="Times New Roman" w:hAnsi="Times New Roman" w:cs="Times New Roman"/>
          <w:b/>
          <w:sz w:val="24"/>
          <w:szCs w:val="24"/>
          <w:shd w:val="clear" w:color="auto" w:fill="FFFFFF"/>
        </w:rPr>
      </w:pPr>
      <w:r w:rsidRPr="004F1AD9">
        <w:rPr>
          <w:rFonts w:ascii="Times New Roman" w:hAnsi="Times New Roman" w:cs="Times New Roman"/>
          <w:b/>
          <w:sz w:val="24"/>
          <w:szCs w:val="24"/>
          <w:shd w:val="clear" w:color="auto" w:fill="FFFFFF"/>
        </w:rPr>
        <w:t>One to two things you are curious about/have questions about reading</w:t>
      </w:r>
    </w:p>
    <w:p w:rsidR="00056BE7" w:rsidRPr="004F1AD9" w:rsidRDefault="00C7424C" w:rsidP="004F1AD9">
      <w:pPr>
        <w:spacing w:line="480" w:lineRule="auto"/>
        <w:ind w:firstLine="720"/>
        <w:rPr>
          <w:rFonts w:ascii="Times New Roman" w:hAnsi="Times New Roman" w:cs="Times New Roman"/>
          <w:sz w:val="24"/>
          <w:szCs w:val="24"/>
          <w:shd w:val="clear" w:color="auto" w:fill="FFFFFF"/>
        </w:rPr>
      </w:pPr>
      <w:r w:rsidRPr="004F1AD9">
        <w:rPr>
          <w:rFonts w:ascii="Times New Roman" w:hAnsi="Times New Roman" w:cs="Times New Roman"/>
          <w:sz w:val="24"/>
          <w:szCs w:val="24"/>
          <w:shd w:val="clear" w:color="auto" w:fill="FFFFFF"/>
        </w:rPr>
        <w:t xml:space="preserve">A significant aspect I picked up from the reading is the formation and mobilization of movements and partisan. Movements were greatly fueled by grievances and deprivations. Sustainability required that movements seek for resources to further their agenda. Resources required an entrepreneurial mindset in acquisition and spending. There was also the necessity for leaders attached to the movement for organization and sometimes training. The leaders are thus recognizable with the cause. My curiosity about the entire mobilization and recruitment process is the similarity of the entirety of the process with current political campaigns, particularly in African nations. The macro-level, meso-level and micro-level structures of both movements and political organizations </w:t>
      </w:r>
      <w:r w:rsidR="004F1AD9">
        <w:rPr>
          <w:rFonts w:ascii="Times New Roman" w:hAnsi="Times New Roman" w:cs="Times New Roman"/>
          <w:sz w:val="24"/>
          <w:szCs w:val="24"/>
          <w:shd w:val="clear" w:color="auto" w:fill="FFFFFF"/>
        </w:rPr>
        <w:t>are resoundingly similar.</w:t>
      </w:r>
      <w:r w:rsidR="00056BE7" w:rsidRPr="004F1AD9">
        <w:rPr>
          <w:rFonts w:ascii="Times New Roman" w:hAnsi="Times New Roman" w:cs="Times New Roman"/>
          <w:sz w:val="24"/>
          <w:szCs w:val="24"/>
          <w:shd w:val="clear" w:color="auto" w:fill="FFFFFF"/>
        </w:rPr>
        <w:br w:type="page"/>
      </w:r>
    </w:p>
    <w:sdt>
      <w:sdtPr>
        <w:rPr>
          <w:rFonts w:ascii="Times New Roman" w:hAnsi="Times New Roman" w:cs="Times New Roman"/>
          <w:color w:val="auto"/>
          <w:sz w:val="24"/>
          <w:szCs w:val="24"/>
        </w:rPr>
        <w:id w:val="224536830"/>
        <w:docPartObj>
          <w:docPartGallery w:val="Bibliographies"/>
          <w:docPartUnique/>
        </w:docPartObj>
      </w:sdtPr>
      <w:sdtEndPr>
        <w:rPr>
          <w:rFonts w:eastAsiaTheme="minorEastAsia"/>
          <w:b w:val="0"/>
          <w:bCs w:val="0"/>
          <w:lang w:bidi="ar-SA"/>
        </w:rPr>
      </w:sdtEndPr>
      <w:sdtContent>
        <w:p w:rsidR="00056BE7" w:rsidRPr="004F1AD9" w:rsidRDefault="00056BE7" w:rsidP="004F1AD9">
          <w:pPr>
            <w:pStyle w:val="Heading1"/>
            <w:spacing w:line="480" w:lineRule="auto"/>
            <w:jc w:val="center"/>
            <w:rPr>
              <w:rFonts w:ascii="Times New Roman" w:hAnsi="Times New Roman" w:cs="Times New Roman"/>
              <w:color w:val="auto"/>
              <w:sz w:val="24"/>
              <w:szCs w:val="24"/>
            </w:rPr>
          </w:pPr>
          <w:r w:rsidRPr="004F1AD9">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056BE7" w:rsidRPr="004F1AD9" w:rsidRDefault="00056BE7" w:rsidP="004F1AD9">
              <w:pPr>
                <w:pStyle w:val="Bibliography"/>
                <w:spacing w:line="480" w:lineRule="auto"/>
                <w:ind w:left="720" w:hanging="720"/>
                <w:rPr>
                  <w:rFonts w:ascii="Times New Roman" w:hAnsi="Times New Roman" w:cs="Times New Roman"/>
                  <w:noProof/>
                  <w:sz w:val="24"/>
                  <w:szCs w:val="24"/>
                </w:rPr>
              </w:pPr>
              <w:r w:rsidRPr="004F1AD9">
                <w:rPr>
                  <w:rFonts w:ascii="Times New Roman" w:hAnsi="Times New Roman" w:cs="Times New Roman"/>
                  <w:sz w:val="24"/>
                  <w:szCs w:val="24"/>
                </w:rPr>
                <w:fldChar w:fldCharType="begin"/>
              </w:r>
              <w:r w:rsidRPr="004F1AD9">
                <w:rPr>
                  <w:rFonts w:ascii="Times New Roman" w:hAnsi="Times New Roman" w:cs="Times New Roman"/>
                  <w:sz w:val="24"/>
                  <w:szCs w:val="24"/>
                </w:rPr>
                <w:instrText xml:space="preserve"> BIBLIOGRAPHY </w:instrText>
              </w:r>
              <w:r w:rsidRPr="004F1AD9">
                <w:rPr>
                  <w:rFonts w:ascii="Times New Roman" w:hAnsi="Times New Roman" w:cs="Times New Roman"/>
                  <w:sz w:val="24"/>
                  <w:szCs w:val="24"/>
                </w:rPr>
                <w:fldChar w:fldCharType="separate"/>
              </w:r>
              <w:r w:rsidRPr="004F1AD9">
                <w:rPr>
                  <w:rFonts w:ascii="Times New Roman" w:hAnsi="Times New Roman" w:cs="Times New Roman"/>
                  <w:noProof/>
                  <w:sz w:val="24"/>
                  <w:szCs w:val="24"/>
                </w:rPr>
                <w:t xml:space="preserve">Staggenborg, S. (2015). Issues in the Study of Social Movements and Collective Action. In S. Staggenborg, </w:t>
              </w:r>
              <w:r w:rsidRPr="004F1AD9">
                <w:rPr>
                  <w:rFonts w:ascii="Times New Roman" w:hAnsi="Times New Roman" w:cs="Times New Roman"/>
                  <w:i/>
                  <w:iCs/>
                  <w:noProof/>
                  <w:sz w:val="24"/>
                  <w:szCs w:val="24"/>
                </w:rPr>
                <w:t xml:space="preserve">Social movements. </w:t>
              </w:r>
              <w:r w:rsidRPr="004F1AD9">
                <w:rPr>
                  <w:rFonts w:ascii="Times New Roman" w:hAnsi="Times New Roman" w:cs="Times New Roman"/>
                  <w:noProof/>
                  <w:sz w:val="24"/>
                  <w:szCs w:val="24"/>
                </w:rPr>
                <w:t>(pp. 28-34). Oxford University Press.</w:t>
              </w:r>
            </w:p>
            <w:p w:rsidR="00056BE7" w:rsidRPr="004F1AD9" w:rsidRDefault="00056BE7" w:rsidP="004F1AD9">
              <w:pPr>
                <w:spacing w:line="480" w:lineRule="auto"/>
                <w:ind w:left="720" w:hanging="720"/>
                <w:rPr>
                  <w:rFonts w:ascii="Times New Roman" w:hAnsi="Times New Roman" w:cs="Times New Roman"/>
                  <w:sz w:val="24"/>
                  <w:szCs w:val="24"/>
                </w:rPr>
              </w:pPr>
              <w:r w:rsidRPr="004F1AD9">
                <w:rPr>
                  <w:rFonts w:ascii="Times New Roman" w:hAnsi="Times New Roman" w:cs="Times New Roman"/>
                  <w:sz w:val="24"/>
                  <w:szCs w:val="24"/>
                </w:rPr>
                <w:fldChar w:fldCharType="end"/>
              </w:r>
            </w:p>
          </w:sdtContent>
        </w:sdt>
      </w:sdtContent>
    </w:sdt>
    <w:p w:rsidR="00C7424C" w:rsidRPr="004F1AD9" w:rsidRDefault="00C7424C" w:rsidP="004F1AD9">
      <w:pPr>
        <w:spacing w:line="480" w:lineRule="auto"/>
        <w:ind w:firstLine="720"/>
        <w:jc w:val="center"/>
        <w:rPr>
          <w:rFonts w:ascii="Times New Roman" w:hAnsi="Times New Roman" w:cs="Times New Roman"/>
          <w:sz w:val="24"/>
          <w:szCs w:val="24"/>
        </w:rPr>
      </w:pPr>
    </w:p>
    <w:sectPr w:rsidR="00C7424C" w:rsidRPr="004F1AD9" w:rsidSect="00056BE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09B8" w:rsidRDefault="00CB09B8" w:rsidP="00056BE7">
      <w:pPr>
        <w:spacing w:after="0" w:line="240" w:lineRule="auto"/>
      </w:pPr>
      <w:r>
        <w:separator/>
      </w:r>
    </w:p>
  </w:endnote>
  <w:endnote w:type="continuationSeparator" w:id="1">
    <w:p w:rsidR="00CB09B8" w:rsidRDefault="00CB09B8" w:rsidP="00056B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09B8" w:rsidRDefault="00CB09B8" w:rsidP="00056BE7">
      <w:pPr>
        <w:spacing w:after="0" w:line="240" w:lineRule="auto"/>
      </w:pPr>
      <w:r>
        <w:separator/>
      </w:r>
    </w:p>
  </w:footnote>
  <w:footnote w:type="continuationSeparator" w:id="1">
    <w:p w:rsidR="00CB09B8" w:rsidRDefault="00CB09B8" w:rsidP="00056B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BE7" w:rsidRPr="00056BE7" w:rsidRDefault="00056BE7">
    <w:pPr>
      <w:pStyle w:val="Header"/>
      <w:jc w:val="right"/>
      <w:rPr>
        <w:rFonts w:ascii="Times New Roman" w:hAnsi="Times New Roman" w:cs="Times New Roman"/>
        <w:sz w:val="24"/>
      </w:rPr>
    </w:pPr>
    <w:r w:rsidRPr="00056BE7">
      <w:rPr>
        <w:rFonts w:ascii="Times New Roman" w:hAnsi="Times New Roman" w:cs="Times New Roman"/>
        <w:sz w:val="24"/>
      </w:rPr>
      <w:t>MOBILIZATION OF SOCIAL MOVEMENTS AND COLLECTIVE ACTION</w:t>
    </w:r>
    <w:r w:rsidRPr="00056BE7">
      <w:rPr>
        <w:rFonts w:ascii="Times New Roman" w:hAnsi="Times New Roman" w:cs="Times New Roman"/>
        <w:sz w:val="24"/>
      </w:rPr>
      <w:tab/>
    </w:r>
    <w:sdt>
      <w:sdtPr>
        <w:rPr>
          <w:rFonts w:ascii="Times New Roman" w:hAnsi="Times New Roman" w:cs="Times New Roman"/>
          <w:sz w:val="24"/>
        </w:rPr>
        <w:id w:val="224536835"/>
        <w:docPartObj>
          <w:docPartGallery w:val="Page Numbers (Top of Page)"/>
          <w:docPartUnique/>
        </w:docPartObj>
      </w:sdtPr>
      <w:sdtContent>
        <w:r w:rsidRPr="00056BE7">
          <w:rPr>
            <w:rFonts w:ascii="Times New Roman" w:hAnsi="Times New Roman" w:cs="Times New Roman"/>
            <w:sz w:val="24"/>
          </w:rPr>
          <w:fldChar w:fldCharType="begin"/>
        </w:r>
        <w:r w:rsidRPr="00056BE7">
          <w:rPr>
            <w:rFonts w:ascii="Times New Roman" w:hAnsi="Times New Roman" w:cs="Times New Roman"/>
            <w:sz w:val="24"/>
          </w:rPr>
          <w:instrText xml:space="preserve"> PAGE   \* MERGEFORMAT </w:instrText>
        </w:r>
        <w:r w:rsidRPr="00056BE7">
          <w:rPr>
            <w:rFonts w:ascii="Times New Roman" w:hAnsi="Times New Roman" w:cs="Times New Roman"/>
            <w:sz w:val="24"/>
          </w:rPr>
          <w:fldChar w:fldCharType="separate"/>
        </w:r>
        <w:r w:rsidR="004F1AD9">
          <w:rPr>
            <w:rFonts w:ascii="Times New Roman" w:hAnsi="Times New Roman" w:cs="Times New Roman"/>
            <w:noProof/>
            <w:sz w:val="24"/>
          </w:rPr>
          <w:t>2</w:t>
        </w:r>
        <w:r w:rsidRPr="00056BE7">
          <w:rPr>
            <w:rFonts w:ascii="Times New Roman" w:hAnsi="Times New Roman" w:cs="Times New Roman"/>
            <w:sz w:val="24"/>
          </w:rPr>
          <w:fldChar w:fldCharType="end"/>
        </w:r>
      </w:sdtContent>
    </w:sdt>
  </w:p>
  <w:p w:rsidR="00056BE7" w:rsidRPr="00056BE7" w:rsidRDefault="00056BE7">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BE7" w:rsidRPr="00056BE7" w:rsidRDefault="00056BE7">
    <w:pPr>
      <w:pStyle w:val="Header"/>
      <w:jc w:val="right"/>
      <w:rPr>
        <w:rFonts w:ascii="Times New Roman" w:hAnsi="Times New Roman" w:cs="Times New Roman"/>
        <w:sz w:val="24"/>
      </w:rPr>
    </w:pPr>
    <w:r w:rsidRPr="00056BE7">
      <w:rPr>
        <w:rFonts w:ascii="Times New Roman" w:hAnsi="Times New Roman" w:cs="Times New Roman"/>
        <w:sz w:val="24"/>
      </w:rPr>
      <w:t xml:space="preserve">Running Head: MOBILIZATION OF SOCIAL MOVEMENTS AND COLLECTIVE ACTION </w:t>
    </w:r>
    <w:r w:rsidRPr="00056BE7">
      <w:rPr>
        <w:rFonts w:ascii="Times New Roman" w:hAnsi="Times New Roman" w:cs="Times New Roman"/>
        <w:sz w:val="24"/>
      </w:rPr>
      <w:tab/>
    </w:r>
    <w:sdt>
      <w:sdtPr>
        <w:rPr>
          <w:rFonts w:ascii="Times New Roman" w:hAnsi="Times New Roman" w:cs="Times New Roman"/>
          <w:sz w:val="24"/>
        </w:rPr>
        <w:id w:val="224536891"/>
        <w:docPartObj>
          <w:docPartGallery w:val="Page Numbers (Top of Page)"/>
          <w:docPartUnique/>
        </w:docPartObj>
      </w:sdtPr>
      <w:sdtContent>
        <w:r w:rsidRPr="00056BE7">
          <w:rPr>
            <w:rFonts w:ascii="Times New Roman" w:hAnsi="Times New Roman" w:cs="Times New Roman"/>
            <w:sz w:val="24"/>
          </w:rPr>
          <w:fldChar w:fldCharType="begin"/>
        </w:r>
        <w:r w:rsidRPr="00056BE7">
          <w:rPr>
            <w:rFonts w:ascii="Times New Roman" w:hAnsi="Times New Roman" w:cs="Times New Roman"/>
            <w:sz w:val="24"/>
          </w:rPr>
          <w:instrText xml:space="preserve"> PAGE   \* MERGEFORMAT </w:instrText>
        </w:r>
        <w:r w:rsidRPr="00056BE7">
          <w:rPr>
            <w:rFonts w:ascii="Times New Roman" w:hAnsi="Times New Roman" w:cs="Times New Roman"/>
            <w:sz w:val="24"/>
          </w:rPr>
          <w:fldChar w:fldCharType="separate"/>
        </w:r>
        <w:r w:rsidR="004F1AD9">
          <w:rPr>
            <w:rFonts w:ascii="Times New Roman" w:hAnsi="Times New Roman" w:cs="Times New Roman"/>
            <w:noProof/>
            <w:sz w:val="24"/>
          </w:rPr>
          <w:t>1</w:t>
        </w:r>
        <w:r w:rsidRPr="00056BE7">
          <w:rPr>
            <w:rFonts w:ascii="Times New Roman" w:hAnsi="Times New Roman" w:cs="Times New Roman"/>
            <w:sz w:val="24"/>
          </w:rPr>
          <w:fldChar w:fldCharType="end"/>
        </w:r>
      </w:sdtContent>
    </w:sdt>
  </w:p>
  <w:p w:rsidR="00056BE7" w:rsidRPr="00056BE7" w:rsidRDefault="00056BE7">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617B3"/>
    <w:rsid w:val="00056BE7"/>
    <w:rsid w:val="004F1AD9"/>
    <w:rsid w:val="00C7424C"/>
    <w:rsid w:val="00CA7D60"/>
    <w:rsid w:val="00CB09B8"/>
    <w:rsid w:val="00F617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56BE7"/>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6B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6BE7"/>
    <w:rPr>
      <w:rFonts w:ascii="Tahoma" w:hAnsi="Tahoma" w:cs="Tahoma"/>
      <w:sz w:val="16"/>
      <w:szCs w:val="16"/>
    </w:rPr>
  </w:style>
  <w:style w:type="character" w:customStyle="1" w:styleId="Heading1Char">
    <w:name w:val="Heading 1 Char"/>
    <w:basedOn w:val="DefaultParagraphFont"/>
    <w:link w:val="Heading1"/>
    <w:uiPriority w:val="9"/>
    <w:rsid w:val="00056BE7"/>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056BE7"/>
  </w:style>
  <w:style w:type="paragraph" w:styleId="Header">
    <w:name w:val="header"/>
    <w:basedOn w:val="Normal"/>
    <w:link w:val="HeaderChar"/>
    <w:uiPriority w:val="99"/>
    <w:unhideWhenUsed/>
    <w:rsid w:val="00056B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6BE7"/>
  </w:style>
  <w:style w:type="paragraph" w:styleId="Footer">
    <w:name w:val="footer"/>
    <w:basedOn w:val="Normal"/>
    <w:link w:val="FooterChar"/>
    <w:uiPriority w:val="99"/>
    <w:semiHidden/>
    <w:unhideWhenUsed/>
    <w:rsid w:val="00056B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56BE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Sta15</b:Tag>
    <b:SourceType>BookSection</b:SourceType>
    <b:Guid>{0EFCCD6B-BDA5-490C-9589-4FA4B3410C97}</b:Guid>
    <b:LCID>0</b:LCID>
    <b:Author>
      <b:Author>
        <b:NameList>
          <b:Person>
            <b:Last>Staggenborg</b:Last>
            <b:First>Suzanne</b:First>
          </b:Person>
        </b:NameList>
      </b:Author>
      <b:BookAuthor>
        <b:NameList>
          <b:Person>
            <b:Last>Staggenborg</b:Last>
            <b:First>Suzanne</b:First>
          </b:Person>
        </b:NameList>
      </b:BookAuthor>
    </b:Author>
    <b:Title>Issues in the Study of Social Movements and Collective Action</b:Title>
    <b:Year>2015</b:Year>
    <b:Publisher>Oxford University Press</b:Publisher>
    <b:BookTitle>Social movements. </b:BookTitle>
    <b:Pages>28-34</b:Pages>
    <b:RefOrder>1</b:RefOrder>
  </b:Source>
</b:Sources>
</file>

<file path=customXml/itemProps1.xml><?xml version="1.0" encoding="utf-8"?>
<ds:datastoreItem xmlns:ds="http://schemas.openxmlformats.org/officeDocument/2006/customXml" ds:itemID="{31F7113A-7435-4400-B5AF-90D715B83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3</Pages>
  <Words>342</Words>
  <Characters>1952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2019-09-12T08:26:00Z</dcterms:created>
  <dcterms:modified xsi:type="dcterms:W3CDTF">2019-09-12T10:48:00Z</dcterms:modified>
</cp:coreProperties>
</file>