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both"/>
        <w:rPr>
          <w:rFonts w:ascii="Times New Roman" w:hAnsi="Times New Roman" w:cs="Times New Roman"/>
          <w:sz w:val="24"/>
          <w:szCs w:val="24"/>
        </w:rPr>
      </w:pPr>
    </w:p>
    <w:p w:rsidR="00A20566" w:rsidRDefault="00A20566" w:rsidP="009B09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Stock price Analysis</w:t>
      </w:r>
    </w:p>
    <w:p w:rsidR="00A20566" w:rsidRDefault="00A20566" w:rsidP="009B09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A20566" w:rsidRDefault="00A20566" w:rsidP="009B09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20566" w:rsidRDefault="00A20566" w:rsidP="009B09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20566" w:rsidRDefault="00A20566" w:rsidP="009B09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Stock Price Analysis</w:t>
      </w:r>
    </w:p>
    <w:p w:rsidR="00A42C9E" w:rsidRPr="00A20566" w:rsidRDefault="00A42C9E" w:rsidP="009B0982">
      <w:pPr>
        <w:spacing w:after="0" w:line="480" w:lineRule="auto"/>
        <w:contextualSpacing/>
        <w:jc w:val="both"/>
        <w:rPr>
          <w:rFonts w:ascii="Times New Roman" w:hAnsi="Times New Roman" w:cs="Times New Roman"/>
          <w:b/>
          <w:sz w:val="24"/>
          <w:szCs w:val="24"/>
        </w:rPr>
      </w:pPr>
      <w:r w:rsidRPr="00A20566">
        <w:rPr>
          <w:rFonts w:ascii="Times New Roman" w:hAnsi="Times New Roman" w:cs="Times New Roman"/>
          <w:b/>
          <w:sz w:val="24"/>
          <w:szCs w:val="24"/>
        </w:rPr>
        <w:t>Republic Services Inc.</w:t>
      </w:r>
    </w:p>
    <w:p w:rsidR="00A42C9E" w:rsidRPr="00A20566" w:rsidRDefault="00A20566"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R</w:t>
      </w:r>
      <w:r w:rsidR="00A42C9E" w:rsidRPr="00A20566">
        <w:rPr>
          <w:rFonts w:ascii="Times New Roman" w:hAnsi="Times New Roman" w:cs="Times New Roman"/>
          <w:sz w:val="24"/>
          <w:szCs w:val="24"/>
        </w:rPr>
        <w:t xml:space="preserve">epublic Services Inc. is an American company that deals with solid waste management. The company recycles and manages solid waste. It has collection companies, recycling centers as well as landfills that it uses to provide effective and reliable environmental services to the different locations that it operates. Republic Service is listed in the New York Stock exchange as RSG and is among the fortunes 500. Currently, the company serves more than 14 million customers in the US. The company was formed in 1998, with its headquarters at Phoenix, Arizona. Based on its latest SEC filings, the company managed to collect $10.1 billion in revenues. Republic Service Inc. employs 3,500 employees. Currently, the main competitor of the company </w:t>
      </w:r>
      <w:r w:rsidRPr="00A20566">
        <w:rPr>
          <w:rFonts w:ascii="Times New Roman" w:hAnsi="Times New Roman" w:cs="Times New Roman"/>
          <w:sz w:val="24"/>
          <w:szCs w:val="24"/>
        </w:rPr>
        <w:t>is</w:t>
      </w:r>
      <w:r w:rsidR="00A42C9E" w:rsidRPr="00A20566">
        <w:rPr>
          <w:rFonts w:ascii="Times New Roman" w:hAnsi="Times New Roman" w:cs="Times New Roman"/>
          <w:sz w:val="24"/>
          <w:szCs w:val="24"/>
        </w:rPr>
        <w:t xml:space="preserve"> Waste connections, Waste Industries, Advanced Disposal, Lakeshore Recycling System, and Waste Management among others. The only company that is ranked top of Republic Services Inc. among its top ten competitors is Waste Management Inc. </w:t>
      </w:r>
    </w:p>
    <w:p w:rsidR="00A42C9E" w:rsidRPr="00A20566" w:rsidRDefault="00A42C9E" w:rsidP="009B0982">
      <w:pPr>
        <w:keepNext/>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noProof/>
          <w:sz w:val="24"/>
          <w:szCs w:val="24"/>
        </w:rPr>
        <w:drawing>
          <wp:inline distT="0" distB="0" distL="0" distR="0" wp14:anchorId="4C080BB1" wp14:editId="6BB5747E">
            <wp:extent cx="5943600" cy="43148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42C9E" w:rsidRPr="00A20566" w:rsidRDefault="00A42C9E" w:rsidP="009B0982">
      <w:pPr>
        <w:pStyle w:val="Caption"/>
        <w:spacing w:after="0" w:line="480" w:lineRule="auto"/>
        <w:contextualSpacing/>
        <w:jc w:val="both"/>
        <w:rPr>
          <w:rFonts w:ascii="Times New Roman" w:hAnsi="Times New Roman" w:cs="Times New Roman"/>
          <w:color w:val="auto"/>
          <w:sz w:val="24"/>
          <w:szCs w:val="24"/>
        </w:rPr>
      </w:pPr>
      <w:r w:rsidRPr="00A20566">
        <w:rPr>
          <w:rFonts w:ascii="Times New Roman" w:hAnsi="Times New Roman" w:cs="Times New Roman"/>
          <w:color w:val="auto"/>
          <w:sz w:val="24"/>
          <w:szCs w:val="24"/>
        </w:rPr>
        <w:t xml:space="preserve">Figure </w:t>
      </w:r>
      <w:r w:rsidRPr="00A20566">
        <w:rPr>
          <w:rFonts w:ascii="Times New Roman" w:hAnsi="Times New Roman" w:cs="Times New Roman"/>
          <w:color w:val="auto"/>
          <w:sz w:val="24"/>
          <w:szCs w:val="24"/>
        </w:rPr>
        <w:fldChar w:fldCharType="begin"/>
      </w:r>
      <w:r w:rsidRPr="00A20566">
        <w:rPr>
          <w:rFonts w:ascii="Times New Roman" w:hAnsi="Times New Roman" w:cs="Times New Roman"/>
          <w:color w:val="auto"/>
          <w:sz w:val="24"/>
          <w:szCs w:val="24"/>
        </w:rPr>
        <w:instrText xml:space="preserve"> SEQ Figure \* ARABIC </w:instrText>
      </w:r>
      <w:r w:rsidRPr="00A20566">
        <w:rPr>
          <w:rFonts w:ascii="Times New Roman" w:hAnsi="Times New Roman" w:cs="Times New Roman"/>
          <w:color w:val="auto"/>
          <w:sz w:val="24"/>
          <w:szCs w:val="24"/>
        </w:rPr>
        <w:fldChar w:fldCharType="separate"/>
      </w:r>
      <w:r w:rsidR="00A20566" w:rsidRPr="00A20566">
        <w:rPr>
          <w:rFonts w:ascii="Times New Roman" w:hAnsi="Times New Roman" w:cs="Times New Roman"/>
          <w:noProof/>
          <w:color w:val="auto"/>
          <w:sz w:val="24"/>
          <w:szCs w:val="24"/>
        </w:rPr>
        <w:t>1</w:t>
      </w:r>
      <w:r w:rsidRPr="00A20566">
        <w:rPr>
          <w:rFonts w:ascii="Times New Roman" w:hAnsi="Times New Roman" w:cs="Times New Roman"/>
          <w:color w:val="auto"/>
          <w:sz w:val="24"/>
          <w:szCs w:val="24"/>
        </w:rPr>
        <w:fldChar w:fldCharType="end"/>
      </w:r>
      <w:r w:rsidRPr="00A20566">
        <w:rPr>
          <w:rFonts w:ascii="Times New Roman" w:hAnsi="Times New Roman" w:cs="Times New Roman"/>
          <w:color w:val="auto"/>
          <w:sz w:val="24"/>
          <w:szCs w:val="24"/>
        </w:rPr>
        <w:t>: Republic Services 5-year monthly stock performance</w:t>
      </w:r>
    </w:p>
    <w:p w:rsidR="00A42C9E" w:rsidRPr="00A20566" w:rsidRDefault="00A42C9E"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From the above figure, the stock price for republic services has been increasing since 2014. One of the reason</w:t>
      </w:r>
      <w:r w:rsidR="00A20566" w:rsidRPr="00A20566">
        <w:rPr>
          <w:rFonts w:ascii="Times New Roman" w:hAnsi="Times New Roman" w:cs="Times New Roman"/>
          <w:sz w:val="24"/>
          <w:szCs w:val="24"/>
        </w:rPr>
        <w:t>s</w:t>
      </w:r>
      <w:r w:rsidRPr="00A20566">
        <w:rPr>
          <w:rFonts w:ascii="Times New Roman" w:hAnsi="Times New Roman" w:cs="Times New Roman"/>
          <w:sz w:val="24"/>
          <w:szCs w:val="24"/>
        </w:rPr>
        <w:t xml:space="preserve"> for the increase in price was the $560 million shares repurchase that the board of Republic increased in October 2013 on top of the </w:t>
      </w:r>
      <w:r w:rsidR="00A20566" w:rsidRPr="00A20566">
        <w:rPr>
          <w:rFonts w:ascii="Times New Roman" w:hAnsi="Times New Roman" w:cs="Times New Roman"/>
          <w:sz w:val="24"/>
          <w:szCs w:val="24"/>
        </w:rPr>
        <w:t>s</w:t>
      </w:r>
      <w:r w:rsidRPr="00A20566">
        <w:rPr>
          <w:rFonts w:ascii="Times New Roman" w:hAnsi="Times New Roman" w:cs="Times New Roman"/>
          <w:sz w:val="24"/>
          <w:szCs w:val="24"/>
        </w:rPr>
        <w:t>hare repurchase authorization originally approved by the board of directors in November 2010. The company has continued to maintain its management efficiency as it works with a board of management that holds integrity as the leading virtue. By 2014, the company had moved its operations into 39 states in the US as well as Puerto Ricco, thereby moving into the second largest provider of services in the domestic non-hazardous solid waste</w:t>
      </w:r>
      <w:r w:rsidR="00A20566">
        <w:rPr>
          <w:rFonts w:ascii="Times New Roman" w:hAnsi="Times New Roman" w:cs="Times New Roman"/>
          <w:sz w:val="24"/>
          <w:szCs w:val="24"/>
        </w:rPr>
        <w:t xml:space="preserve"> industry in the US</w:t>
      </w:r>
      <w:r w:rsidRPr="00A20566">
        <w:rPr>
          <w:rFonts w:ascii="Times New Roman" w:hAnsi="Times New Roman" w:cs="Times New Roman"/>
          <w:sz w:val="24"/>
          <w:szCs w:val="24"/>
        </w:rPr>
        <w:t xml:space="preserve">. In this case, the movement into one of the largest providers and the continued positive financial performance has played key roles in the stock prices of the company rising. The increase in revenue by 4.4% in 2014 also contributed to the beginning of the rising stock prices of Republic Services for the five years. </w:t>
      </w:r>
    </w:p>
    <w:p w:rsidR="00A42C9E" w:rsidRPr="00A20566" w:rsidRDefault="00A42C9E" w:rsidP="009B0982">
      <w:pPr>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noProof/>
          <w:sz w:val="24"/>
          <w:szCs w:val="24"/>
        </w:rPr>
        <w:drawing>
          <wp:inline distT="0" distB="0" distL="0" distR="0" wp14:anchorId="2B42F4E5" wp14:editId="42B9B70E">
            <wp:extent cx="5943600" cy="43148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42C9E" w:rsidRPr="00A20566" w:rsidRDefault="00A42C9E"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 xml:space="preserve">The figure above demonstrates </w:t>
      </w:r>
      <w:r w:rsidR="00A20566" w:rsidRPr="00A20566">
        <w:rPr>
          <w:rFonts w:ascii="Times New Roman" w:hAnsi="Times New Roman" w:cs="Times New Roman"/>
          <w:sz w:val="24"/>
          <w:szCs w:val="24"/>
        </w:rPr>
        <w:t xml:space="preserve">the </w:t>
      </w:r>
      <w:r w:rsidRPr="00A20566">
        <w:rPr>
          <w:rFonts w:ascii="Times New Roman" w:hAnsi="Times New Roman" w:cs="Times New Roman"/>
          <w:sz w:val="24"/>
          <w:szCs w:val="24"/>
        </w:rPr>
        <w:t>Republic Service’s volume through a six-month period, representing the high, low, and close stock prices from January 1st until June 2</w:t>
      </w:r>
      <w:r w:rsidRPr="00A20566">
        <w:rPr>
          <w:rFonts w:ascii="Times New Roman" w:hAnsi="Times New Roman" w:cs="Times New Roman"/>
          <w:sz w:val="24"/>
          <w:szCs w:val="24"/>
          <w:vertAlign w:val="superscript"/>
        </w:rPr>
        <w:t>nd</w:t>
      </w:r>
      <w:r w:rsidR="00A20566" w:rsidRPr="00A20566">
        <w:rPr>
          <w:rFonts w:ascii="Times New Roman" w:hAnsi="Times New Roman" w:cs="Times New Roman"/>
          <w:sz w:val="24"/>
          <w:szCs w:val="24"/>
          <w:vertAlign w:val="superscript"/>
        </w:rPr>
        <w:t>,</w:t>
      </w:r>
      <w:r w:rsidRPr="00A20566">
        <w:rPr>
          <w:rFonts w:ascii="Times New Roman" w:hAnsi="Times New Roman" w:cs="Times New Roman"/>
          <w:sz w:val="24"/>
          <w:szCs w:val="24"/>
        </w:rPr>
        <w:t xml:space="preserve"> 2019. From the figure, the highest volume traded was between January 2</w:t>
      </w:r>
      <w:r w:rsidRPr="00A20566">
        <w:rPr>
          <w:rFonts w:ascii="Times New Roman" w:hAnsi="Times New Roman" w:cs="Times New Roman"/>
          <w:sz w:val="24"/>
          <w:szCs w:val="24"/>
          <w:vertAlign w:val="superscript"/>
        </w:rPr>
        <w:t>nd</w:t>
      </w:r>
      <w:r w:rsidRPr="00A20566">
        <w:rPr>
          <w:rFonts w:ascii="Times New Roman" w:hAnsi="Times New Roman" w:cs="Times New Roman"/>
          <w:sz w:val="24"/>
          <w:szCs w:val="24"/>
        </w:rPr>
        <w:t xml:space="preserve"> and April 2</w:t>
      </w:r>
      <w:r w:rsidRPr="00A20566">
        <w:rPr>
          <w:rFonts w:ascii="Times New Roman" w:hAnsi="Times New Roman" w:cs="Times New Roman"/>
          <w:sz w:val="24"/>
          <w:szCs w:val="24"/>
          <w:vertAlign w:val="superscript"/>
        </w:rPr>
        <w:t>nd</w:t>
      </w:r>
      <w:r w:rsidRPr="00A20566">
        <w:rPr>
          <w:rFonts w:ascii="Times New Roman" w:hAnsi="Times New Roman" w:cs="Times New Roman"/>
          <w:sz w:val="24"/>
          <w:szCs w:val="24"/>
        </w:rPr>
        <w:t xml:space="preserve">. The main reason for the increase in the volume trade could be the results of the report </w:t>
      </w:r>
      <w:r w:rsidR="00A20566" w:rsidRPr="00A20566">
        <w:rPr>
          <w:rFonts w:ascii="Times New Roman" w:hAnsi="Times New Roman" w:cs="Times New Roman"/>
          <w:sz w:val="24"/>
          <w:szCs w:val="24"/>
        </w:rPr>
        <w:t>for</w:t>
      </w:r>
      <w:r w:rsidRPr="00A20566">
        <w:rPr>
          <w:rFonts w:ascii="Times New Roman" w:hAnsi="Times New Roman" w:cs="Times New Roman"/>
          <w:sz w:val="24"/>
          <w:szCs w:val="24"/>
        </w:rPr>
        <w:t xml:space="preserve"> the fourth quarter of 2018. Accordingly, Republic Service had reported an increase in EPS by 31%, making it to $0.80 per share. In this regard, the company’s fourth</w:t>
      </w:r>
      <w:r w:rsidR="00A20566" w:rsidRPr="00A20566">
        <w:rPr>
          <w:rFonts w:ascii="Times New Roman" w:hAnsi="Times New Roman" w:cs="Times New Roman"/>
          <w:sz w:val="24"/>
          <w:szCs w:val="24"/>
        </w:rPr>
        <w:t>-</w:t>
      </w:r>
      <w:r w:rsidRPr="00A20566">
        <w:rPr>
          <w:rFonts w:ascii="Times New Roman" w:hAnsi="Times New Roman" w:cs="Times New Roman"/>
          <w:sz w:val="24"/>
          <w:szCs w:val="24"/>
        </w:rPr>
        <w:t xml:space="preserve">quarter and the final year results indicated positive results, which included </w:t>
      </w:r>
      <w:r w:rsidR="00A20566" w:rsidRPr="00A20566">
        <w:rPr>
          <w:rFonts w:ascii="Times New Roman" w:hAnsi="Times New Roman" w:cs="Times New Roman"/>
          <w:sz w:val="24"/>
          <w:szCs w:val="24"/>
        </w:rPr>
        <w:t xml:space="preserve">an </w:t>
      </w:r>
      <w:r w:rsidRPr="00A20566">
        <w:rPr>
          <w:rFonts w:ascii="Times New Roman" w:hAnsi="Times New Roman" w:cs="Times New Roman"/>
          <w:sz w:val="24"/>
          <w:szCs w:val="24"/>
        </w:rPr>
        <w:t xml:space="preserve">increase in both </w:t>
      </w:r>
      <w:r w:rsidR="00A20566" w:rsidRPr="00A20566">
        <w:rPr>
          <w:rFonts w:ascii="Times New Roman" w:hAnsi="Times New Roman" w:cs="Times New Roman"/>
          <w:sz w:val="24"/>
          <w:szCs w:val="24"/>
        </w:rPr>
        <w:t xml:space="preserve">the </w:t>
      </w:r>
      <w:r w:rsidRPr="00A20566">
        <w:rPr>
          <w:rFonts w:ascii="Times New Roman" w:hAnsi="Times New Roman" w:cs="Times New Roman"/>
          <w:sz w:val="24"/>
          <w:szCs w:val="24"/>
        </w:rPr>
        <w:t>fourth quarter and final year revenues. Accordingly, Republic Service had full</w:t>
      </w:r>
      <w:r w:rsidR="00A20566" w:rsidRPr="00A20566">
        <w:rPr>
          <w:rFonts w:ascii="Times New Roman" w:hAnsi="Times New Roman" w:cs="Times New Roman"/>
          <w:sz w:val="24"/>
          <w:szCs w:val="24"/>
        </w:rPr>
        <w:t>-</w:t>
      </w:r>
      <w:r w:rsidRPr="00A20566">
        <w:rPr>
          <w:rFonts w:ascii="Times New Roman" w:hAnsi="Times New Roman" w:cs="Times New Roman"/>
          <w:sz w:val="24"/>
          <w:szCs w:val="24"/>
        </w:rPr>
        <w:t>year adjusted EPS of $3.09, an increase of 27% over the previous year. In the same way, the 4</w:t>
      </w:r>
      <w:r w:rsidRPr="00A20566">
        <w:rPr>
          <w:rFonts w:ascii="Times New Roman" w:hAnsi="Times New Roman" w:cs="Times New Roman"/>
          <w:sz w:val="24"/>
          <w:szCs w:val="24"/>
          <w:vertAlign w:val="superscript"/>
        </w:rPr>
        <w:t>th</w:t>
      </w:r>
      <w:r w:rsidRPr="00A20566">
        <w:rPr>
          <w:rFonts w:ascii="Times New Roman" w:hAnsi="Times New Roman" w:cs="Times New Roman"/>
          <w:sz w:val="24"/>
          <w:szCs w:val="24"/>
        </w:rPr>
        <w:t xml:space="preserve"> quarter revenue increased by 2.6% from the previous year. As a growing company, Republic Service was able to increase its areas of operations to forty states and Puerto Rico. The ability to effectively </w:t>
      </w:r>
      <w:r w:rsidR="00A20566" w:rsidRPr="00A20566">
        <w:rPr>
          <w:rFonts w:ascii="Times New Roman" w:hAnsi="Times New Roman" w:cs="Times New Roman"/>
          <w:sz w:val="24"/>
          <w:szCs w:val="24"/>
        </w:rPr>
        <w:t>manage</w:t>
      </w:r>
      <w:r w:rsidRPr="00A20566">
        <w:rPr>
          <w:rFonts w:ascii="Times New Roman" w:hAnsi="Times New Roman" w:cs="Times New Roman"/>
          <w:sz w:val="24"/>
          <w:szCs w:val="24"/>
        </w:rPr>
        <w:t xml:space="preserve"> its expenses and still earn growth in both revenue and net income is a possible reason for the increase in the volume. </w:t>
      </w:r>
    </w:p>
    <w:p w:rsidR="00A42C9E" w:rsidRPr="00A20566" w:rsidRDefault="00A42C9E" w:rsidP="009B0982">
      <w:pPr>
        <w:spacing w:after="0" w:line="480" w:lineRule="auto"/>
        <w:contextualSpacing/>
        <w:jc w:val="both"/>
        <w:rPr>
          <w:rFonts w:ascii="Times New Roman" w:hAnsi="Times New Roman" w:cs="Times New Roman"/>
          <w:b/>
          <w:sz w:val="24"/>
          <w:szCs w:val="24"/>
        </w:rPr>
      </w:pPr>
      <w:r w:rsidRPr="00A20566">
        <w:rPr>
          <w:rFonts w:ascii="Times New Roman" w:hAnsi="Times New Roman" w:cs="Times New Roman"/>
          <w:b/>
          <w:sz w:val="24"/>
          <w:szCs w:val="24"/>
        </w:rPr>
        <w:t xml:space="preserve">Waste Management </w:t>
      </w:r>
      <w:r w:rsidR="00A20566" w:rsidRPr="00A20566">
        <w:rPr>
          <w:rFonts w:ascii="Times New Roman" w:hAnsi="Times New Roman" w:cs="Times New Roman"/>
          <w:b/>
          <w:sz w:val="24"/>
          <w:szCs w:val="24"/>
        </w:rPr>
        <w:t>Inc.</w:t>
      </w:r>
    </w:p>
    <w:p w:rsidR="00A42C9E" w:rsidRPr="00A20566" w:rsidRDefault="00A42C9E"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 xml:space="preserve">Waste </w:t>
      </w:r>
      <w:r w:rsidR="00A20566" w:rsidRPr="00A20566">
        <w:rPr>
          <w:rFonts w:ascii="Times New Roman" w:hAnsi="Times New Roman" w:cs="Times New Roman"/>
          <w:sz w:val="24"/>
          <w:szCs w:val="24"/>
        </w:rPr>
        <w:t>M</w:t>
      </w:r>
      <w:r w:rsidRPr="00A20566">
        <w:rPr>
          <w:rFonts w:ascii="Times New Roman" w:hAnsi="Times New Roman" w:cs="Times New Roman"/>
          <w:sz w:val="24"/>
          <w:szCs w:val="24"/>
        </w:rPr>
        <w:t xml:space="preserve">anagement </w:t>
      </w:r>
      <w:r w:rsidR="00A20566" w:rsidRPr="00A20566">
        <w:rPr>
          <w:rFonts w:ascii="Times New Roman" w:hAnsi="Times New Roman" w:cs="Times New Roman"/>
          <w:sz w:val="24"/>
          <w:szCs w:val="24"/>
        </w:rPr>
        <w:t>Inc.</w:t>
      </w:r>
      <w:r w:rsidRPr="00A20566">
        <w:rPr>
          <w:rFonts w:ascii="Times New Roman" w:hAnsi="Times New Roman" w:cs="Times New Roman"/>
          <w:sz w:val="24"/>
          <w:szCs w:val="24"/>
        </w:rPr>
        <w:t xml:space="preserve"> is another </w:t>
      </w:r>
      <w:r w:rsidR="00A20566" w:rsidRPr="00A20566">
        <w:rPr>
          <w:rFonts w:ascii="Times New Roman" w:hAnsi="Times New Roman" w:cs="Times New Roman"/>
          <w:sz w:val="24"/>
          <w:szCs w:val="24"/>
        </w:rPr>
        <w:t>North</w:t>
      </w:r>
      <w:r w:rsidRPr="00A20566">
        <w:rPr>
          <w:rFonts w:ascii="Times New Roman" w:hAnsi="Times New Roman" w:cs="Times New Roman"/>
          <w:sz w:val="24"/>
          <w:szCs w:val="24"/>
        </w:rPr>
        <w:t xml:space="preserve"> American company in the solid and waste management industry. The company was formed in 1968. With 43,700 employees in 2018, the company managed to earn revenue of $15.1 billion. Currently, the CEO of the company is James C Fish. Based on its years of experience and advances in technology, Waste management is currently the largest company in the US offering environmental solutions (Waste </w:t>
      </w:r>
      <w:r w:rsidR="00A20566" w:rsidRPr="00A20566">
        <w:rPr>
          <w:rFonts w:ascii="Times New Roman" w:hAnsi="Times New Roman" w:cs="Times New Roman"/>
          <w:sz w:val="24"/>
          <w:szCs w:val="24"/>
        </w:rPr>
        <w:t>Management</w:t>
      </w:r>
      <w:r w:rsidRPr="00A20566">
        <w:rPr>
          <w:rFonts w:ascii="Times New Roman" w:hAnsi="Times New Roman" w:cs="Times New Roman"/>
          <w:sz w:val="24"/>
          <w:szCs w:val="24"/>
        </w:rPr>
        <w:t>, 2019). It offers its services to more than twenty-one million customers in North America. Apart from</w:t>
      </w:r>
      <w:r w:rsidR="00A20566" w:rsidRPr="00A20566">
        <w:rPr>
          <w:rFonts w:ascii="Times New Roman" w:hAnsi="Times New Roman" w:cs="Times New Roman"/>
          <w:sz w:val="24"/>
          <w:szCs w:val="24"/>
        </w:rPr>
        <w:t xml:space="preserve"> recycling, Waste M</w:t>
      </w:r>
      <w:r w:rsidRPr="00A20566">
        <w:rPr>
          <w:rFonts w:ascii="Times New Roman" w:hAnsi="Times New Roman" w:cs="Times New Roman"/>
          <w:sz w:val="24"/>
          <w:szCs w:val="24"/>
        </w:rPr>
        <w:t xml:space="preserve">anagement also offers other services including </w:t>
      </w:r>
      <w:r w:rsidR="00A20566" w:rsidRPr="00A20566">
        <w:rPr>
          <w:rFonts w:ascii="Times New Roman" w:hAnsi="Times New Roman" w:cs="Times New Roman"/>
          <w:sz w:val="24"/>
          <w:szCs w:val="24"/>
        </w:rPr>
        <w:t>consultations</w:t>
      </w:r>
      <w:r w:rsidRPr="00A20566">
        <w:rPr>
          <w:rFonts w:ascii="Times New Roman" w:hAnsi="Times New Roman" w:cs="Times New Roman"/>
          <w:sz w:val="24"/>
          <w:szCs w:val="24"/>
        </w:rPr>
        <w:t xml:space="preserve"> and resources aimed at the reduction of waste before it is created. The main competitors of Waste Management are Waste Connections, Casella, LRS, Cdl Recycle, Republic Services, Flood Brothers, GFL Environmental, Recology, Groot and Brackenbox. However, the company ranks first in the top ten competitors in the industry.</w:t>
      </w:r>
    </w:p>
    <w:p w:rsidR="00A42C9E" w:rsidRPr="00A20566" w:rsidRDefault="00A42C9E" w:rsidP="009B0982">
      <w:pPr>
        <w:keepNext/>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noProof/>
          <w:sz w:val="24"/>
          <w:szCs w:val="24"/>
        </w:rPr>
        <w:drawing>
          <wp:inline distT="0" distB="0" distL="0" distR="0" wp14:anchorId="69B060F6" wp14:editId="2E84A525">
            <wp:extent cx="5943600" cy="43148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42C9E" w:rsidRPr="00A20566" w:rsidRDefault="00A42C9E" w:rsidP="009B0982">
      <w:pPr>
        <w:pStyle w:val="Caption"/>
        <w:spacing w:after="0" w:line="480" w:lineRule="auto"/>
        <w:contextualSpacing/>
        <w:jc w:val="both"/>
        <w:rPr>
          <w:rFonts w:ascii="Times New Roman" w:hAnsi="Times New Roman" w:cs="Times New Roman"/>
          <w:color w:val="auto"/>
          <w:sz w:val="24"/>
          <w:szCs w:val="24"/>
        </w:rPr>
      </w:pPr>
      <w:r w:rsidRPr="00A20566">
        <w:rPr>
          <w:rFonts w:ascii="Times New Roman" w:hAnsi="Times New Roman" w:cs="Times New Roman"/>
          <w:color w:val="auto"/>
          <w:sz w:val="24"/>
          <w:szCs w:val="24"/>
        </w:rPr>
        <w:t xml:space="preserve">Figure </w:t>
      </w:r>
      <w:r w:rsidRPr="00A20566">
        <w:rPr>
          <w:rFonts w:ascii="Times New Roman" w:hAnsi="Times New Roman" w:cs="Times New Roman"/>
          <w:color w:val="auto"/>
          <w:sz w:val="24"/>
          <w:szCs w:val="24"/>
        </w:rPr>
        <w:fldChar w:fldCharType="begin"/>
      </w:r>
      <w:r w:rsidRPr="00A20566">
        <w:rPr>
          <w:rFonts w:ascii="Times New Roman" w:hAnsi="Times New Roman" w:cs="Times New Roman"/>
          <w:color w:val="auto"/>
          <w:sz w:val="24"/>
          <w:szCs w:val="24"/>
        </w:rPr>
        <w:instrText xml:space="preserve"> SEQ Figure \* ARABIC </w:instrText>
      </w:r>
      <w:r w:rsidRPr="00A20566">
        <w:rPr>
          <w:rFonts w:ascii="Times New Roman" w:hAnsi="Times New Roman" w:cs="Times New Roman"/>
          <w:color w:val="auto"/>
          <w:sz w:val="24"/>
          <w:szCs w:val="24"/>
        </w:rPr>
        <w:fldChar w:fldCharType="separate"/>
      </w:r>
      <w:r w:rsidR="00A20566" w:rsidRPr="00A20566">
        <w:rPr>
          <w:rFonts w:ascii="Times New Roman" w:hAnsi="Times New Roman" w:cs="Times New Roman"/>
          <w:noProof/>
          <w:color w:val="auto"/>
          <w:sz w:val="24"/>
          <w:szCs w:val="24"/>
        </w:rPr>
        <w:t>2</w:t>
      </w:r>
      <w:r w:rsidRPr="00A20566">
        <w:rPr>
          <w:rFonts w:ascii="Times New Roman" w:hAnsi="Times New Roman" w:cs="Times New Roman"/>
          <w:color w:val="auto"/>
          <w:sz w:val="24"/>
          <w:szCs w:val="24"/>
        </w:rPr>
        <w:fldChar w:fldCharType="end"/>
      </w:r>
      <w:r w:rsidRPr="00A20566">
        <w:rPr>
          <w:rFonts w:ascii="Times New Roman" w:hAnsi="Times New Roman" w:cs="Times New Roman"/>
          <w:color w:val="auto"/>
          <w:sz w:val="24"/>
          <w:szCs w:val="24"/>
        </w:rPr>
        <w:t>: Waste management's Five Year Stock performance</w:t>
      </w:r>
    </w:p>
    <w:p w:rsidR="00A20566" w:rsidRDefault="00A42C9E"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The above figure indicates the stock performance of Waste management over the five years from 2014 to 2019. Following its size and experience in the industry, Waste management has been the lea</w:t>
      </w:r>
      <w:r w:rsidR="00A20566" w:rsidRPr="00A20566">
        <w:rPr>
          <w:rFonts w:ascii="Times New Roman" w:hAnsi="Times New Roman" w:cs="Times New Roman"/>
          <w:sz w:val="24"/>
          <w:szCs w:val="24"/>
        </w:rPr>
        <w:t>ding company, in the sector. Th</w:t>
      </w:r>
      <w:r w:rsidRPr="00A20566">
        <w:rPr>
          <w:rFonts w:ascii="Times New Roman" w:hAnsi="Times New Roman" w:cs="Times New Roman"/>
          <w:sz w:val="24"/>
          <w:szCs w:val="24"/>
        </w:rPr>
        <w:t xml:space="preserve">is has been reflected in its constant increase in sales revenue from 13.6 billion in 2014 to 15.1 billion in 2018. As a result, the company has been able to increase its net profit margin, hence the constant increase in stock prices. In 2014, Waste Management was recognized as a leader among S&amp;P 500 companies by environmental non-profit CDP for the depth and quality of climate change data it disclosed to investors and the global marketplace through CDP, the world’s only global environmental disclosure system. Even though Waste management had been in the CDP’s survey results since 2004, it was the first time that the company was recognized and ranked. This ranked boosted its stock position in the market, hence the 2014 rise in prices. In February, the company announced a cash dividend of $0.385 per share, which made several </w:t>
      </w:r>
      <w:r w:rsidR="00A20566" w:rsidRPr="00A20566">
        <w:rPr>
          <w:rFonts w:ascii="Times New Roman" w:hAnsi="Times New Roman" w:cs="Times New Roman"/>
          <w:sz w:val="24"/>
          <w:szCs w:val="24"/>
        </w:rPr>
        <w:t>investors</w:t>
      </w:r>
      <w:r w:rsidRPr="00A20566">
        <w:rPr>
          <w:rFonts w:ascii="Times New Roman" w:hAnsi="Times New Roman" w:cs="Times New Roman"/>
          <w:sz w:val="24"/>
          <w:szCs w:val="24"/>
        </w:rPr>
        <w:t xml:space="preserve"> consider selling their shares. The result </w:t>
      </w:r>
      <w:r w:rsidR="00A20566" w:rsidRPr="00A20566">
        <w:rPr>
          <w:rFonts w:ascii="Times New Roman" w:hAnsi="Times New Roman" w:cs="Times New Roman"/>
          <w:sz w:val="24"/>
          <w:szCs w:val="24"/>
        </w:rPr>
        <w:t>was</w:t>
      </w:r>
      <w:r w:rsidRPr="00A20566">
        <w:rPr>
          <w:rFonts w:ascii="Times New Roman" w:hAnsi="Times New Roman" w:cs="Times New Roman"/>
          <w:sz w:val="24"/>
          <w:szCs w:val="24"/>
        </w:rPr>
        <w:t xml:space="preserve"> a </w:t>
      </w:r>
      <w:r w:rsidR="00A20566" w:rsidRPr="00A20566">
        <w:rPr>
          <w:rFonts w:ascii="Times New Roman" w:hAnsi="Times New Roman" w:cs="Times New Roman"/>
          <w:sz w:val="24"/>
          <w:szCs w:val="24"/>
        </w:rPr>
        <w:t>slight</w:t>
      </w:r>
      <w:r w:rsidR="00A20566">
        <w:rPr>
          <w:rFonts w:ascii="Times New Roman" w:hAnsi="Times New Roman" w:cs="Times New Roman"/>
          <w:sz w:val="24"/>
          <w:szCs w:val="24"/>
        </w:rPr>
        <w:t xml:space="preserve"> decrease in prices.</w:t>
      </w:r>
    </w:p>
    <w:p w:rsidR="00A42C9E" w:rsidRPr="00A20566" w:rsidRDefault="00A42C9E"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 xml:space="preserve">However, Ethisphere Institute, an independent center of research promoting best practices in corporate ethics and governance, named and awarded Waste Management with the certificate of the world’s most ethical company for the </w:t>
      </w:r>
      <w:r w:rsidR="00A20566" w:rsidRPr="00A20566">
        <w:rPr>
          <w:rFonts w:ascii="Times New Roman" w:hAnsi="Times New Roman" w:cs="Times New Roman"/>
          <w:sz w:val="24"/>
          <w:szCs w:val="24"/>
        </w:rPr>
        <w:t>eighth</w:t>
      </w:r>
      <w:r w:rsidRPr="00A20566">
        <w:rPr>
          <w:rFonts w:ascii="Times New Roman" w:hAnsi="Times New Roman" w:cs="Times New Roman"/>
          <w:sz w:val="24"/>
          <w:szCs w:val="24"/>
        </w:rPr>
        <w:t xml:space="preserve"> consecutive year in 2015. This led to </w:t>
      </w:r>
      <w:r w:rsidR="00A20566" w:rsidRPr="00A20566">
        <w:rPr>
          <w:rFonts w:ascii="Times New Roman" w:hAnsi="Times New Roman" w:cs="Times New Roman"/>
          <w:sz w:val="24"/>
          <w:szCs w:val="24"/>
        </w:rPr>
        <w:t xml:space="preserve">an </w:t>
      </w:r>
      <w:r w:rsidRPr="00A20566">
        <w:rPr>
          <w:rFonts w:ascii="Times New Roman" w:hAnsi="Times New Roman" w:cs="Times New Roman"/>
          <w:sz w:val="24"/>
          <w:szCs w:val="24"/>
        </w:rPr>
        <w:t>immediate increase in stock prices as investors considered the company as a better buy. Ever since Waste Management has remained to be in better shape as shown by its constant increase in stock prices.</w:t>
      </w:r>
    </w:p>
    <w:p w:rsidR="00A42C9E" w:rsidRPr="00A20566" w:rsidRDefault="00A42C9E" w:rsidP="009B0982">
      <w:pPr>
        <w:keepNext/>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noProof/>
          <w:sz w:val="24"/>
          <w:szCs w:val="24"/>
        </w:rPr>
        <w:drawing>
          <wp:inline distT="0" distB="0" distL="0" distR="0" wp14:anchorId="31C045DF" wp14:editId="38455627">
            <wp:extent cx="5943600" cy="431482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42C9E" w:rsidRPr="00A20566" w:rsidRDefault="00A42C9E" w:rsidP="009B0982">
      <w:pPr>
        <w:pStyle w:val="Caption"/>
        <w:spacing w:after="0" w:line="480" w:lineRule="auto"/>
        <w:contextualSpacing/>
        <w:jc w:val="both"/>
        <w:rPr>
          <w:rFonts w:ascii="Times New Roman" w:hAnsi="Times New Roman" w:cs="Times New Roman"/>
          <w:color w:val="auto"/>
          <w:sz w:val="24"/>
          <w:szCs w:val="24"/>
        </w:rPr>
      </w:pPr>
      <w:r w:rsidRPr="00A20566">
        <w:rPr>
          <w:rFonts w:ascii="Times New Roman" w:hAnsi="Times New Roman" w:cs="Times New Roman"/>
          <w:color w:val="auto"/>
          <w:sz w:val="24"/>
          <w:szCs w:val="24"/>
        </w:rPr>
        <w:t xml:space="preserve">Figure </w:t>
      </w:r>
      <w:r w:rsidRPr="00A20566">
        <w:rPr>
          <w:rFonts w:ascii="Times New Roman" w:hAnsi="Times New Roman" w:cs="Times New Roman"/>
          <w:color w:val="auto"/>
          <w:sz w:val="24"/>
          <w:szCs w:val="24"/>
        </w:rPr>
        <w:fldChar w:fldCharType="begin"/>
      </w:r>
      <w:r w:rsidRPr="00A20566">
        <w:rPr>
          <w:rFonts w:ascii="Times New Roman" w:hAnsi="Times New Roman" w:cs="Times New Roman"/>
          <w:color w:val="auto"/>
          <w:sz w:val="24"/>
          <w:szCs w:val="24"/>
        </w:rPr>
        <w:instrText xml:space="preserve"> SEQ Figure \* ARABIC </w:instrText>
      </w:r>
      <w:r w:rsidRPr="00A20566">
        <w:rPr>
          <w:rFonts w:ascii="Times New Roman" w:hAnsi="Times New Roman" w:cs="Times New Roman"/>
          <w:color w:val="auto"/>
          <w:sz w:val="24"/>
          <w:szCs w:val="24"/>
        </w:rPr>
        <w:fldChar w:fldCharType="separate"/>
      </w:r>
      <w:r w:rsidR="00A20566" w:rsidRPr="00A20566">
        <w:rPr>
          <w:rFonts w:ascii="Times New Roman" w:hAnsi="Times New Roman" w:cs="Times New Roman"/>
          <w:noProof/>
          <w:color w:val="auto"/>
          <w:sz w:val="24"/>
          <w:szCs w:val="24"/>
        </w:rPr>
        <w:t>3</w:t>
      </w:r>
      <w:r w:rsidRPr="00A20566">
        <w:rPr>
          <w:rFonts w:ascii="Times New Roman" w:hAnsi="Times New Roman" w:cs="Times New Roman"/>
          <w:color w:val="auto"/>
          <w:sz w:val="24"/>
          <w:szCs w:val="24"/>
        </w:rPr>
        <w:fldChar w:fldCharType="end"/>
      </w:r>
      <w:r w:rsidRPr="00A20566">
        <w:rPr>
          <w:rFonts w:ascii="Times New Roman" w:hAnsi="Times New Roman" w:cs="Times New Roman"/>
          <w:color w:val="auto"/>
          <w:sz w:val="24"/>
          <w:szCs w:val="24"/>
        </w:rPr>
        <w:t>: Waste Management 6 month performance</w:t>
      </w:r>
    </w:p>
    <w:p w:rsidR="00A42C9E" w:rsidRPr="00A20566" w:rsidRDefault="00A42C9E" w:rsidP="009B0982">
      <w:pPr>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sz w:val="24"/>
          <w:szCs w:val="24"/>
        </w:rPr>
        <w:t xml:space="preserve">The growth of the waste management sector positively contributed to the increased volume from January to April. </w:t>
      </w:r>
    </w:p>
    <w:p w:rsidR="00A42C9E" w:rsidRPr="00A20566" w:rsidRDefault="00A42C9E" w:rsidP="009B0982">
      <w:pPr>
        <w:spacing w:after="0" w:line="480" w:lineRule="auto"/>
        <w:contextualSpacing/>
        <w:jc w:val="both"/>
        <w:rPr>
          <w:rFonts w:ascii="Times New Roman" w:hAnsi="Times New Roman" w:cs="Times New Roman"/>
          <w:b/>
          <w:sz w:val="24"/>
          <w:szCs w:val="24"/>
        </w:rPr>
      </w:pPr>
      <w:r w:rsidRPr="00A20566">
        <w:rPr>
          <w:rFonts w:ascii="Times New Roman" w:hAnsi="Times New Roman" w:cs="Times New Roman"/>
          <w:b/>
          <w:sz w:val="24"/>
          <w:szCs w:val="24"/>
        </w:rPr>
        <w:t>Analysis of Waste Management vs Republic Services vs Dow Jones</w:t>
      </w:r>
    </w:p>
    <w:p w:rsidR="00A42C9E" w:rsidRPr="00A20566" w:rsidRDefault="00A42C9E" w:rsidP="009B0982">
      <w:pPr>
        <w:spacing w:after="0" w:line="480" w:lineRule="auto"/>
        <w:ind w:firstLine="720"/>
        <w:contextualSpacing/>
        <w:jc w:val="both"/>
        <w:rPr>
          <w:rFonts w:ascii="Times New Roman" w:hAnsi="Times New Roman" w:cs="Times New Roman"/>
          <w:sz w:val="24"/>
          <w:szCs w:val="24"/>
        </w:rPr>
      </w:pPr>
      <w:r w:rsidRPr="00A20566">
        <w:rPr>
          <w:rFonts w:ascii="Times New Roman" w:hAnsi="Times New Roman" w:cs="Times New Roman"/>
          <w:sz w:val="24"/>
          <w:szCs w:val="24"/>
        </w:rPr>
        <w:t xml:space="preserve">A comparison of the two companies shows that they have been moving in a similar way to Dow </w:t>
      </w:r>
      <w:r w:rsidR="00A20566" w:rsidRPr="00A20566">
        <w:rPr>
          <w:rFonts w:ascii="Times New Roman" w:hAnsi="Times New Roman" w:cs="Times New Roman"/>
          <w:sz w:val="24"/>
          <w:szCs w:val="24"/>
        </w:rPr>
        <w:t>J</w:t>
      </w:r>
      <w:r w:rsidRPr="00A20566">
        <w:rPr>
          <w:rFonts w:ascii="Times New Roman" w:hAnsi="Times New Roman" w:cs="Times New Roman"/>
          <w:sz w:val="24"/>
          <w:szCs w:val="24"/>
        </w:rPr>
        <w:t>ones for the past five years. Since the Dow Jones has been increasing, similar trends ha</w:t>
      </w:r>
      <w:r w:rsidR="00A20566" w:rsidRPr="00A20566">
        <w:rPr>
          <w:rFonts w:ascii="Times New Roman" w:hAnsi="Times New Roman" w:cs="Times New Roman"/>
          <w:sz w:val="24"/>
          <w:szCs w:val="24"/>
        </w:rPr>
        <w:t>ve</w:t>
      </w:r>
      <w:r w:rsidRPr="00A20566">
        <w:rPr>
          <w:rFonts w:ascii="Times New Roman" w:hAnsi="Times New Roman" w:cs="Times New Roman"/>
          <w:sz w:val="24"/>
          <w:szCs w:val="24"/>
        </w:rPr>
        <w:t xml:space="preserve"> been recorded by the two companies. However, the price of Dow jones is much higher than for both Waste Management and Republic Service. Consequently, a chart comparing the two does not indicate with clarity the movement of the two.  As such, a separate chart comparing Waste Management and Republic Service Inc. was created for five years. The chart showed that over the past five years, Waste Management’s prices have been higher than Republic Service’s prices. This leads to the conclusion that Waste Management Inc. has been better performing than Republic Service as shown by higher stock prices over the past five years. </w:t>
      </w:r>
    </w:p>
    <w:p w:rsidR="00A42C9E" w:rsidRPr="00A20566" w:rsidRDefault="00A42C9E" w:rsidP="009B0982">
      <w:pPr>
        <w:keepNext/>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noProof/>
          <w:sz w:val="24"/>
          <w:szCs w:val="24"/>
        </w:rPr>
        <w:drawing>
          <wp:inline distT="0" distB="0" distL="0" distR="0" wp14:anchorId="5706DD59" wp14:editId="3D668E9A">
            <wp:extent cx="5943600" cy="4313555"/>
            <wp:effectExtent l="0" t="0" r="0" b="1079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42C9E" w:rsidRPr="00A20566" w:rsidRDefault="00A42C9E" w:rsidP="009B0982">
      <w:pPr>
        <w:pStyle w:val="Caption"/>
        <w:spacing w:after="0" w:line="480" w:lineRule="auto"/>
        <w:contextualSpacing/>
        <w:jc w:val="both"/>
        <w:rPr>
          <w:rFonts w:ascii="Times New Roman" w:hAnsi="Times New Roman" w:cs="Times New Roman"/>
          <w:b/>
          <w:color w:val="auto"/>
          <w:sz w:val="24"/>
          <w:szCs w:val="24"/>
        </w:rPr>
      </w:pPr>
      <w:r w:rsidRPr="00A20566">
        <w:rPr>
          <w:rFonts w:ascii="Times New Roman" w:hAnsi="Times New Roman" w:cs="Times New Roman"/>
          <w:color w:val="auto"/>
          <w:sz w:val="24"/>
          <w:szCs w:val="24"/>
        </w:rPr>
        <w:t xml:space="preserve">Figure </w:t>
      </w:r>
      <w:r w:rsidRPr="00A20566">
        <w:rPr>
          <w:rFonts w:ascii="Times New Roman" w:hAnsi="Times New Roman" w:cs="Times New Roman"/>
          <w:color w:val="auto"/>
          <w:sz w:val="24"/>
          <w:szCs w:val="24"/>
        </w:rPr>
        <w:fldChar w:fldCharType="begin"/>
      </w:r>
      <w:r w:rsidRPr="00A20566">
        <w:rPr>
          <w:rFonts w:ascii="Times New Roman" w:hAnsi="Times New Roman" w:cs="Times New Roman"/>
          <w:color w:val="auto"/>
          <w:sz w:val="24"/>
          <w:szCs w:val="24"/>
        </w:rPr>
        <w:instrText xml:space="preserve"> SEQ Figure \* ARABIC </w:instrText>
      </w:r>
      <w:r w:rsidRPr="00A20566">
        <w:rPr>
          <w:rFonts w:ascii="Times New Roman" w:hAnsi="Times New Roman" w:cs="Times New Roman"/>
          <w:color w:val="auto"/>
          <w:sz w:val="24"/>
          <w:szCs w:val="24"/>
        </w:rPr>
        <w:fldChar w:fldCharType="separate"/>
      </w:r>
      <w:r w:rsidR="00A20566" w:rsidRPr="00A20566">
        <w:rPr>
          <w:rFonts w:ascii="Times New Roman" w:hAnsi="Times New Roman" w:cs="Times New Roman"/>
          <w:noProof/>
          <w:color w:val="auto"/>
          <w:sz w:val="24"/>
          <w:szCs w:val="24"/>
        </w:rPr>
        <w:t>4</w:t>
      </w:r>
      <w:r w:rsidRPr="00A20566">
        <w:rPr>
          <w:rFonts w:ascii="Times New Roman" w:hAnsi="Times New Roman" w:cs="Times New Roman"/>
          <w:color w:val="auto"/>
          <w:sz w:val="24"/>
          <w:szCs w:val="24"/>
        </w:rPr>
        <w:fldChar w:fldCharType="end"/>
      </w:r>
      <w:r w:rsidRPr="00A20566">
        <w:rPr>
          <w:rFonts w:ascii="Times New Roman" w:hAnsi="Times New Roman" w:cs="Times New Roman"/>
          <w:color w:val="auto"/>
          <w:sz w:val="24"/>
          <w:szCs w:val="24"/>
        </w:rPr>
        <w:t>: Comparison of Dow Jones, Waste Management and Services Republic over the last five years</w:t>
      </w:r>
    </w:p>
    <w:p w:rsidR="00A42C9E" w:rsidRPr="00A20566" w:rsidRDefault="00A42C9E" w:rsidP="009B0982">
      <w:pPr>
        <w:spacing w:after="0" w:line="480" w:lineRule="auto"/>
        <w:contextualSpacing/>
        <w:jc w:val="both"/>
        <w:rPr>
          <w:rFonts w:ascii="Times New Roman" w:hAnsi="Times New Roman" w:cs="Times New Roman"/>
          <w:b/>
          <w:sz w:val="24"/>
          <w:szCs w:val="24"/>
        </w:rPr>
      </w:pPr>
    </w:p>
    <w:p w:rsidR="00A20566" w:rsidRPr="00A20566" w:rsidRDefault="00A42C9E" w:rsidP="009B0982">
      <w:pPr>
        <w:keepNext/>
        <w:spacing w:after="0" w:line="480" w:lineRule="auto"/>
        <w:contextualSpacing/>
        <w:jc w:val="both"/>
        <w:rPr>
          <w:rFonts w:ascii="Times New Roman" w:hAnsi="Times New Roman" w:cs="Times New Roman"/>
          <w:sz w:val="24"/>
          <w:szCs w:val="24"/>
        </w:rPr>
      </w:pPr>
      <w:r w:rsidRPr="00A20566">
        <w:rPr>
          <w:rFonts w:ascii="Times New Roman" w:hAnsi="Times New Roman" w:cs="Times New Roman"/>
          <w:noProof/>
          <w:sz w:val="24"/>
          <w:szCs w:val="24"/>
        </w:rPr>
        <w:drawing>
          <wp:inline distT="0" distB="0" distL="0" distR="0" wp14:anchorId="227979AC" wp14:editId="293D7927">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42C9E" w:rsidRPr="00A20566" w:rsidRDefault="00A20566" w:rsidP="009B0982">
      <w:pPr>
        <w:pStyle w:val="Caption"/>
        <w:spacing w:after="0" w:line="480" w:lineRule="auto"/>
        <w:contextualSpacing/>
        <w:jc w:val="both"/>
        <w:rPr>
          <w:rFonts w:ascii="Times New Roman" w:hAnsi="Times New Roman" w:cs="Times New Roman"/>
          <w:b/>
          <w:color w:val="auto"/>
          <w:sz w:val="24"/>
          <w:szCs w:val="24"/>
        </w:rPr>
      </w:pPr>
      <w:r w:rsidRPr="00A20566">
        <w:rPr>
          <w:rFonts w:ascii="Times New Roman" w:hAnsi="Times New Roman" w:cs="Times New Roman"/>
          <w:color w:val="auto"/>
          <w:sz w:val="24"/>
          <w:szCs w:val="24"/>
        </w:rPr>
        <w:t xml:space="preserve">Figure </w:t>
      </w:r>
      <w:r w:rsidRPr="00A20566">
        <w:rPr>
          <w:rFonts w:ascii="Times New Roman" w:hAnsi="Times New Roman" w:cs="Times New Roman"/>
          <w:color w:val="auto"/>
          <w:sz w:val="24"/>
          <w:szCs w:val="24"/>
        </w:rPr>
        <w:fldChar w:fldCharType="begin"/>
      </w:r>
      <w:r w:rsidRPr="00A20566">
        <w:rPr>
          <w:rFonts w:ascii="Times New Roman" w:hAnsi="Times New Roman" w:cs="Times New Roman"/>
          <w:color w:val="auto"/>
          <w:sz w:val="24"/>
          <w:szCs w:val="24"/>
        </w:rPr>
        <w:instrText xml:space="preserve"> SEQ Figure \* ARABIC </w:instrText>
      </w:r>
      <w:r w:rsidRPr="00A20566">
        <w:rPr>
          <w:rFonts w:ascii="Times New Roman" w:hAnsi="Times New Roman" w:cs="Times New Roman"/>
          <w:color w:val="auto"/>
          <w:sz w:val="24"/>
          <w:szCs w:val="24"/>
        </w:rPr>
        <w:fldChar w:fldCharType="separate"/>
      </w:r>
      <w:r w:rsidRPr="00A20566">
        <w:rPr>
          <w:rFonts w:ascii="Times New Roman" w:hAnsi="Times New Roman" w:cs="Times New Roman"/>
          <w:noProof/>
          <w:color w:val="auto"/>
          <w:sz w:val="24"/>
          <w:szCs w:val="24"/>
        </w:rPr>
        <w:t>5</w:t>
      </w:r>
      <w:r w:rsidRPr="00A20566">
        <w:rPr>
          <w:rFonts w:ascii="Times New Roman" w:hAnsi="Times New Roman" w:cs="Times New Roman"/>
          <w:color w:val="auto"/>
          <w:sz w:val="24"/>
          <w:szCs w:val="24"/>
        </w:rPr>
        <w:fldChar w:fldCharType="end"/>
      </w:r>
      <w:r w:rsidRPr="00A20566">
        <w:rPr>
          <w:rFonts w:ascii="Times New Roman" w:hAnsi="Times New Roman" w:cs="Times New Roman"/>
          <w:color w:val="auto"/>
          <w:sz w:val="24"/>
          <w:szCs w:val="24"/>
        </w:rPr>
        <w:t>: Comparison of Waste Management with the Service Republic over the past five years</w:t>
      </w:r>
    </w:p>
    <w:p w:rsidR="00A42C9E" w:rsidRPr="00A20566" w:rsidRDefault="00A42C9E" w:rsidP="009B0982">
      <w:pPr>
        <w:spacing w:after="0" w:line="480" w:lineRule="auto"/>
        <w:contextualSpacing/>
        <w:jc w:val="both"/>
        <w:rPr>
          <w:rFonts w:ascii="Times New Roman" w:hAnsi="Times New Roman" w:cs="Times New Roman"/>
          <w:b/>
          <w:sz w:val="24"/>
          <w:szCs w:val="24"/>
        </w:rPr>
      </w:pPr>
      <w:r w:rsidRPr="00A20566">
        <w:rPr>
          <w:rFonts w:ascii="Times New Roman" w:hAnsi="Times New Roman" w:cs="Times New Roman"/>
          <w:b/>
          <w:sz w:val="24"/>
          <w:szCs w:val="24"/>
        </w:rPr>
        <w:t>Conclusion</w:t>
      </w:r>
    </w:p>
    <w:p w:rsidR="00A20566" w:rsidRDefault="00A42C9E" w:rsidP="009B0982">
      <w:pPr>
        <w:spacing w:after="0" w:line="480" w:lineRule="auto"/>
        <w:ind w:firstLine="720"/>
        <w:contextualSpacing/>
        <w:jc w:val="both"/>
        <w:rPr>
          <w:rFonts w:ascii="Times New Roman" w:hAnsi="Times New Roman" w:cs="Times New Roman"/>
          <w:b/>
          <w:sz w:val="24"/>
          <w:szCs w:val="24"/>
        </w:rPr>
      </w:pPr>
      <w:r w:rsidRPr="00A20566">
        <w:rPr>
          <w:rFonts w:ascii="Times New Roman" w:hAnsi="Times New Roman" w:cs="Times New Roman"/>
          <w:sz w:val="24"/>
          <w:szCs w:val="24"/>
        </w:rPr>
        <w:t>Overall, Waste management has performed better than Republic Services Inc. over the past five years. Irrespective of its large size, Waste material has maintained the number one position as the largest Company in the waste management sector in North America. Its continued investment in ways of improving its efficiency has enabled it to receive several awards in the US, which has enabled it to continue enjoying the number one position. It has had higher stock prices than Republic Services Inc. over the five year period.</w:t>
      </w:r>
    </w:p>
    <w:p w:rsidR="00A20566" w:rsidRDefault="00A20566" w:rsidP="009B098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752BB8" w:rsidRPr="002C4A05" w:rsidRDefault="002C4A05" w:rsidP="009B0982">
      <w:pPr>
        <w:spacing w:after="0" w:line="480" w:lineRule="auto"/>
        <w:ind w:left="720" w:hanging="720"/>
        <w:contextualSpacing/>
        <w:jc w:val="center"/>
        <w:rPr>
          <w:rFonts w:ascii="Times New Roman" w:hAnsi="Times New Roman" w:cs="Times New Roman"/>
          <w:sz w:val="24"/>
          <w:szCs w:val="24"/>
        </w:rPr>
      </w:pPr>
      <w:r w:rsidRPr="002C4A05">
        <w:rPr>
          <w:rFonts w:ascii="Times New Roman" w:hAnsi="Times New Roman" w:cs="Times New Roman"/>
          <w:sz w:val="24"/>
          <w:szCs w:val="24"/>
        </w:rPr>
        <w:t>References</w:t>
      </w:r>
    </w:p>
    <w:p w:rsidR="002C4A05" w:rsidRDefault="002C4A05" w:rsidP="009B0982">
      <w:pPr>
        <w:spacing w:after="0" w:line="480" w:lineRule="auto"/>
        <w:ind w:left="720" w:hanging="720"/>
        <w:contextualSpacing/>
        <w:rPr>
          <w:rFonts w:ascii="Times New Roman" w:hAnsi="Times New Roman" w:cs="Times New Roman"/>
          <w:sz w:val="24"/>
          <w:szCs w:val="24"/>
        </w:rPr>
      </w:pPr>
      <w:r w:rsidRPr="002C4A05">
        <w:rPr>
          <w:rFonts w:ascii="Times New Roman" w:hAnsi="Times New Roman" w:cs="Times New Roman"/>
          <w:sz w:val="24"/>
          <w:szCs w:val="24"/>
        </w:rPr>
        <w:t>Republic Services Inc. (2019).</w:t>
      </w:r>
      <w:r>
        <w:rPr>
          <w:rFonts w:ascii="Times New Roman" w:hAnsi="Times New Roman" w:cs="Times New Roman"/>
          <w:sz w:val="24"/>
          <w:szCs w:val="24"/>
        </w:rPr>
        <w:t xml:space="preserve"> Most Recent Annual Reports. </w:t>
      </w:r>
      <w:r>
        <w:rPr>
          <w:rFonts w:ascii="Times New Roman" w:hAnsi="Times New Roman" w:cs="Times New Roman"/>
          <w:i/>
          <w:sz w:val="24"/>
          <w:szCs w:val="24"/>
        </w:rPr>
        <w:t>Retrieved from</w:t>
      </w:r>
      <w:r w:rsidR="009B0982">
        <w:rPr>
          <w:rFonts w:ascii="Times New Roman" w:hAnsi="Times New Roman" w:cs="Times New Roman"/>
          <w:sz w:val="24"/>
          <w:szCs w:val="24"/>
        </w:rPr>
        <w:t xml:space="preserve"> </w:t>
      </w:r>
      <w:hyperlink r:id="rId13" w:history="1">
        <w:r w:rsidRPr="002E0190">
          <w:rPr>
            <w:rStyle w:val="Hyperlink"/>
            <w:rFonts w:ascii="Times New Roman" w:hAnsi="Times New Roman" w:cs="Times New Roman"/>
            <w:sz w:val="24"/>
            <w:szCs w:val="24"/>
          </w:rPr>
          <w:t>http://www.annualreports.com/Company/republic-services-inc</w:t>
        </w:r>
      </w:hyperlink>
    </w:p>
    <w:p w:rsidR="002C4A05" w:rsidRDefault="002C4A05" w:rsidP="009B0982">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Waste Management. (2019). SEC Filings. </w:t>
      </w:r>
      <w:r>
        <w:rPr>
          <w:rFonts w:ascii="Times New Roman" w:hAnsi="Times New Roman" w:cs="Times New Roman"/>
          <w:i/>
          <w:sz w:val="24"/>
          <w:szCs w:val="24"/>
        </w:rPr>
        <w:t>Retrieved from</w:t>
      </w:r>
      <w:r>
        <w:rPr>
          <w:rFonts w:ascii="Times New Roman" w:hAnsi="Times New Roman" w:cs="Times New Roman"/>
          <w:sz w:val="24"/>
          <w:szCs w:val="24"/>
        </w:rPr>
        <w:t xml:space="preserve"> </w:t>
      </w:r>
      <w:hyperlink r:id="rId14" w:history="1">
        <w:r w:rsidR="009B0982" w:rsidRPr="00993B59">
          <w:rPr>
            <w:rStyle w:val="Hyperlink"/>
            <w:rFonts w:ascii="Times New Roman" w:hAnsi="Times New Roman" w:cs="Times New Roman"/>
            <w:sz w:val="24"/>
            <w:szCs w:val="24"/>
          </w:rPr>
          <w:t>https://investors.wm.com/financial information/sec filings?field_nir_sec_form_group_target_id%5B471%5D=471&amp;items_per_page=10&amp;page=1</w:t>
        </w:r>
      </w:hyperlink>
    </w:p>
    <w:p w:rsidR="002C4A05" w:rsidRPr="002C4A05" w:rsidRDefault="002C4A05" w:rsidP="009B0982">
      <w:pPr>
        <w:spacing w:after="0" w:line="480" w:lineRule="auto"/>
        <w:contextualSpacing/>
        <w:rPr>
          <w:rFonts w:ascii="Times New Roman" w:hAnsi="Times New Roman" w:cs="Times New Roman"/>
          <w:sz w:val="24"/>
          <w:szCs w:val="24"/>
        </w:rPr>
      </w:pPr>
      <w:bookmarkStart w:id="0" w:name="_GoBack"/>
      <w:bookmarkEnd w:id="0"/>
    </w:p>
    <w:sectPr w:rsidR="002C4A05" w:rsidRPr="002C4A05" w:rsidSect="00A20566">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B65" w:rsidRDefault="00BE5B65" w:rsidP="00A20566">
      <w:pPr>
        <w:spacing w:after="0" w:line="240" w:lineRule="auto"/>
      </w:pPr>
      <w:r>
        <w:separator/>
      </w:r>
    </w:p>
  </w:endnote>
  <w:endnote w:type="continuationSeparator" w:id="0">
    <w:p w:rsidR="00BE5B65" w:rsidRDefault="00BE5B65" w:rsidP="00A20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B65" w:rsidRDefault="00BE5B65" w:rsidP="00A20566">
      <w:pPr>
        <w:spacing w:after="0" w:line="240" w:lineRule="auto"/>
      </w:pPr>
      <w:r>
        <w:separator/>
      </w:r>
    </w:p>
  </w:footnote>
  <w:footnote w:type="continuationSeparator" w:id="0">
    <w:p w:rsidR="00BE5B65" w:rsidRDefault="00BE5B65" w:rsidP="00A205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66" w:rsidRPr="00A20566" w:rsidRDefault="00A20566">
    <w:pPr>
      <w:pStyle w:val="Header"/>
      <w:jc w:val="right"/>
      <w:rPr>
        <w:rFonts w:ascii="Times New Roman" w:hAnsi="Times New Roman" w:cs="Times New Roman"/>
        <w:sz w:val="24"/>
        <w:szCs w:val="24"/>
      </w:rPr>
    </w:pPr>
    <w:r w:rsidRPr="00A20566">
      <w:rPr>
        <w:rFonts w:ascii="Times New Roman" w:hAnsi="Times New Roman" w:cs="Times New Roman"/>
        <w:sz w:val="24"/>
        <w:szCs w:val="24"/>
      </w:rPr>
      <w:t>STOCK PRICE ANALYSIS</w:t>
    </w:r>
    <w:r w:rsidRPr="00A20566">
      <w:rPr>
        <w:rFonts w:ascii="Times New Roman" w:hAnsi="Times New Roman" w:cs="Times New Roman"/>
        <w:sz w:val="24"/>
        <w:szCs w:val="24"/>
      </w:rPr>
      <w:tab/>
    </w:r>
    <w:r w:rsidRPr="00A20566">
      <w:rPr>
        <w:rFonts w:ascii="Times New Roman" w:hAnsi="Times New Roman" w:cs="Times New Roman"/>
        <w:sz w:val="24"/>
        <w:szCs w:val="24"/>
      </w:rPr>
      <w:tab/>
    </w:r>
    <w:sdt>
      <w:sdtPr>
        <w:rPr>
          <w:rFonts w:ascii="Times New Roman" w:hAnsi="Times New Roman" w:cs="Times New Roman"/>
          <w:sz w:val="24"/>
          <w:szCs w:val="24"/>
        </w:rPr>
        <w:id w:val="-1745480758"/>
        <w:docPartObj>
          <w:docPartGallery w:val="Page Numbers (Top of Page)"/>
          <w:docPartUnique/>
        </w:docPartObj>
      </w:sdtPr>
      <w:sdtEndPr>
        <w:rPr>
          <w:noProof/>
        </w:rPr>
      </w:sdtEndPr>
      <w:sdtContent>
        <w:r w:rsidRPr="00A20566">
          <w:rPr>
            <w:rFonts w:ascii="Times New Roman" w:hAnsi="Times New Roman" w:cs="Times New Roman"/>
            <w:sz w:val="24"/>
            <w:szCs w:val="24"/>
          </w:rPr>
          <w:fldChar w:fldCharType="begin"/>
        </w:r>
        <w:r w:rsidRPr="00A20566">
          <w:rPr>
            <w:rFonts w:ascii="Times New Roman" w:hAnsi="Times New Roman" w:cs="Times New Roman"/>
            <w:sz w:val="24"/>
            <w:szCs w:val="24"/>
          </w:rPr>
          <w:instrText xml:space="preserve"> PAGE   \* MERGEFORMAT </w:instrText>
        </w:r>
        <w:r w:rsidRPr="00A20566">
          <w:rPr>
            <w:rFonts w:ascii="Times New Roman" w:hAnsi="Times New Roman" w:cs="Times New Roman"/>
            <w:sz w:val="24"/>
            <w:szCs w:val="24"/>
          </w:rPr>
          <w:fldChar w:fldCharType="separate"/>
        </w:r>
        <w:r w:rsidR="009B0982">
          <w:rPr>
            <w:rFonts w:ascii="Times New Roman" w:hAnsi="Times New Roman" w:cs="Times New Roman"/>
            <w:noProof/>
            <w:sz w:val="24"/>
            <w:szCs w:val="24"/>
          </w:rPr>
          <w:t>11</w:t>
        </w:r>
        <w:r w:rsidRPr="00A2056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66" w:rsidRPr="00A20566" w:rsidRDefault="00A20566" w:rsidP="00A20566">
    <w:pPr>
      <w:pStyle w:val="Header"/>
      <w:jc w:val="right"/>
      <w:rPr>
        <w:rFonts w:ascii="Times New Roman" w:hAnsi="Times New Roman" w:cs="Times New Roman"/>
        <w:sz w:val="24"/>
        <w:szCs w:val="24"/>
      </w:rPr>
    </w:pPr>
    <w:r w:rsidRPr="00A20566">
      <w:rPr>
        <w:rFonts w:ascii="Times New Roman" w:hAnsi="Times New Roman" w:cs="Times New Roman"/>
        <w:sz w:val="24"/>
        <w:szCs w:val="24"/>
      </w:rPr>
      <w:t>Running head: STOCK PRICE ANALYSIS</w:t>
    </w:r>
    <w:r w:rsidRPr="00A20566">
      <w:rPr>
        <w:rFonts w:ascii="Times New Roman" w:hAnsi="Times New Roman" w:cs="Times New Roman"/>
        <w:sz w:val="24"/>
        <w:szCs w:val="24"/>
      </w:rPr>
      <w:tab/>
    </w:r>
    <w:r w:rsidRPr="00A20566">
      <w:rPr>
        <w:rFonts w:ascii="Times New Roman" w:hAnsi="Times New Roman" w:cs="Times New Roman"/>
        <w:sz w:val="24"/>
        <w:szCs w:val="24"/>
      </w:rPr>
      <w:tab/>
    </w:r>
    <w:sdt>
      <w:sdtPr>
        <w:rPr>
          <w:rFonts w:ascii="Times New Roman" w:hAnsi="Times New Roman" w:cs="Times New Roman"/>
          <w:sz w:val="24"/>
          <w:szCs w:val="24"/>
        </w:rPr>
        <w:id w:val="1223023153"/>
        <w:docPartObj>
          <w:docPartGallery w:val="Page Numbers (Top of Page)"/>
          <w:docPartUnique/>
        </w:docPartObj>
      </w:sdtPr>
      <w:sdtEndPr>
        <w:rPr>
          <w:noProof/>
        </w:rPr>
      </w:sdtEndPr>
      <w:sdtContent>
        <w:r w:rsidRPr="00A20566">
          <w:rPr>
            <w:rFonts w:ascii="Times New Roman" w:hAnsi="Times New Roman" w:cs="Times New Roman"/>
            <w:sz w:val="24"/>
            <w:szCs w:val="24"/>
          </w:rPr>
          <w:fldChar w:fldCharType="begin"/>
        </w:r>
        <w:r w:rsidRPr="00A20566">
          <w:rPr>
            <w:rFonts w:ascii="Times New Roman" w:hAnsi="Times New Roman" w:cs="Times New Roman"/>
            <w:sz w:val="24"/>
            <w:szCs w:val="24"/>
          </w:rPr>
          <w:instrText xml:space="preserve"> PAGE   \* MERGEFORMAT </w:instrText>
        </w:r>
        <w:r w:rsidRPr="00A20566">
          <w:rPr>
            <w:rFonts w:ascii="Times New Roman" w:hAnsi="Times New Roman" w:cs="Times New Roman"/>
            <w:sz w:val="24"/>
            <w:szCs w:val="24"/>
          </w:rPr>
          <w:fldChar w:fldCharType="separate"/>
        </w:r>
        <w:r w:rsidR="00BE5B65">
          <w:rPr>
            <w:rFonts w:ascii="Times New Roman" w:hAnsi="Times New Roman" w:cs="Times New Roman"/>
            <w:noProof/>
            <w:sz w:val="24"/>
            <w:szCs w:val="24"/>
          </w:rPr>
          <w:t>1</w:t>
        </w:r>
        <w:r w:rsidRPr="00A205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zsjC2NDc1MTOzMDdX0lEKTi0uzszPAykwrAUAnin/lCwAAAA="/>
  </w:docVars>
  <w:rsids>
    <w:rsidRoot w:val="00A42C9E"/>
    <w:rsid w:val="002C4A05"/>
    <w:rsid w:val="00752BB8"/>
    <w:rsid w:val="00981688"/>
    <w:rsid w:val="009B0982"/>
    <w:rsid w:val="00A20566"/>
    <w:rsid w:val="00A42C9E"/>
    <w:rsid w:val="00BE5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42C9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20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66"/>
  </w:style>
  <w:style w:type="paragraph" w:styleId="Footer">
    <w:name w:val="footer"/>
    <w:basedOn w:val="Normal"/>
    <w:link w:val="FooterChar"/>
    <w:uiPriority w:val="99"/>
    <w:unhideWhenUsed/>
    <w:rsid w:val="00A20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566"/>
  </w:style>
  <w:style w:type="character" w:styleId="Hyperlink">
    <w:name w:val="Hyperlink"/>
    <w:basedOn w:val="DefaultParagraphFont"/>
    <w:uiPriority w:val="99"/>
    <w:unhideWhenUsed/>
    <w:rsid w:val="002C4A05"/>
    <w:rPr>
      <w:color w:val="0563C1" w:themeColor="hyperlink"/>
      <w:u w:val="single"/>
    </w:rPr>
  </w:style>
  <w:style w:type="paragraph" w:styleId="BalloonText">
    <w:name w:val="Balloon Text"/>
    <w:basedOn w:val="Normal"/>
    <w:link w:val="BalloonTextChar"/>
    <w:uiPriority w:val="99"/>
    <w:semiHidden/>
    <w:unhideWhenUsed/>
    <w:rsid w:val="009B09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9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42C9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20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66"/>
  </w:style>
  <w:style w:type="paragraph" w:styleId="Footer">
    <w:name w:val="footer"/>
    <w:basedOn w:val="Normal"/>
    <w:link w:val="FooterChar"/>
    <w:uiPriority w:val="99"/>
    <w:unhideWhenUsed/>
    <w:rsid w:val="00A20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566"/>
  </w:style>
  <w:style w:type="character" w:styleId="Hyperlink">
    <w:name w:val="Hyperlink"/>
    <w:basedOn w:val="DefaultParagraphFont"/>
    <w:uiPriority w:val="99"/>
    <w:unhideWhenUsed/>
    <w:rsid w:val="002C4A05"/>
    <w:rPr>
      <w:color w:val="0563C1" w:themeColor="hyperlink"/>
      <w:u w:val="single"/>
    </w:rPr>
  </w:style>
  <w:style w:type="paragraph" w:styleId="BalloonText">
    <w:name w:val="Balloon Text"/>
    <w:basedOn w:val="Normal"/>
    <w:link w:val="BalloonTextChar"/>
    <w:uiPriority w:val="99"/>
    <w:semiHidden/>
    <w:unhideWhenUsed/>
    <w:rsid w:val="009B09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9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www.annualreports.com/Company/republic-services-in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investors.wm.com/financial%20information/sec%20filings?field_nir_sec_form_group_target_id%5B471%5D=471&amp;items_per_page=10&amp;page=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JUMA\Downloads\STOCK_CHARTS_BADM1030.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UMA\Downloads\STOCK_CHARTS_BADM1030.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UMA\Downloads\STOCK_CHARTS_BADM1030.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UMA\Downloads\STOCK_CHARTS_BADM1030.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UMA\Downloads\STOCK_CHARTS_BADM1030.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JUMA\Downloads\STOCK_CHARTS_BADM1030.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RSG 5 YEAR</a:t>
            </a:r>
            <a:r>
              <a:rPr lang="en-US" baseline="0"/>
              <a:t> MONTHLY</a:t>
            </a:r>
            <a:endParaRPr lang="en-US"/>
          </a:p>
        </c:rich>
      </c:tx>
      <c:overlay val="0"/>
      <c:spPr>
        <a:noFill/>
        <a:ln>
          <a:noFill/>
        </a:ln>
        <a:effectLst/>
      </c:spPr>
    </c:title>
    <c:autoTitleDeleted val="0"/>
    <c:plotArea>
      <c:layout/>
      <c:lineChart>
        <c:grouping val="standard"/>
        <c:varyColors val="0"/>
        <c:ser>
          <c:idx val="0"/>
          <c:order val="0"/>
          <c:tx>
            <c:strRef>
              <c:f>'[STOCK_CHARTS_BADM1030.xlsm]RSG_5YEAR-MONTHLY'!$B$1</c:f>
              <c:strCache>
                <c:ptCount val="1"/>
                <c:pt idx="0">
                  <c:v>High</c:v>
                </c:pt>
              </c:strCache>
            </c:strRef>
          </c:tx>
          <c:spPr>
            <a:ln w="28575" cap="rnd">
              <a:solidFill>
                <a:schemeClr val="accent1"/>
              </a:solidFill>
              <a:round/>
            </a:ln>
            <a:effectLst/>
          </c:spPr>
          <c:marker>
            <c:symbol val="none"/>
          </c:marker>
          <c:cat>
            <c:numRef>
              <c:f>'[STOCK_CHARTS_BADM1030.xlsm]RSG_5YEAR-MONTHLY'!$A$2:$A$62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'[STOCK_CHARTS_BADM1030.xlsm]RSG_5YEAR-MONTHLY'!$B$2:$B$62</c:f>
              <c:numCache>
                <c:formatCode>General</c:formatCode>
                <c:ptCount val="61"/>
                <c:pt idx="0">
                  <c:v>38.389999000000003</c:v>
                </c:pt>
                <c:pt idx="1">
                  <c:v>39.659999999999997</c:v>
                </c:pt>
                <c:pt idx="2">
                  <c:v>39.599997999999999</c:v>
                </c:pt>
                <c:pt idx="3">
                  <c:v>39.970001000000003</c:v>
                </c:pt>
                <c:pt idx="4">
                  <c:v>39.970001000000003</c:v>
                </c:pt>
                <c:pt idx="5">
                  <c:v>41.119999</c:v>
                </c:pt>
                <c:pt idx="6">
                  <c:v>41.740001999999997</c:v>
                </c:pt>
                <c:pt idx="7">
                  <c:v>41.209999000000003</c:v>
                </c:pt>
                <c:pt idx="8">
                  <c:v>42.049999</c:v>
                </c:pt>
                <c:pt idx="9">
                  <c:v>41.459999000000003</c:v>
                </c:pt>
                <c:pt idx="10">
                  <c:v>41.02</c:v>
                </c:pt>
                <c:pt idx="11">
                  <c:v>40.98</c:v>
                </c:pt>
                <c:pt idx="12">
                  <c:v>42.98</c:v>
                </c:pt>
                <c:pt idx="13">
                  <c:v>43.709999000000003</c:v>
                </c:pt>
                <c:pt idx="14">
                  <c:v>41.860000999999997</c:v>
                </c:pt>
                <c:pt idx="15">
                  <c:v>44.900002000000001</c:v>
                </c:pt>
                <c:pt idx="16">
                  <c:v>44.59</c:v>
                </c:pt>
                <c:pt idx="17">
                  <c:v>45.349997999999999</c:v>
                </c:pt>
                <c:pt idx="18">
                  <c:v>44.880001</c:v>
                </c:pt>
                <c:pt idx="19">
                  <c:v>46.619999</c:v>
                </c:pt>
                <c:pt idx="20">
                  <c:v>48.759998000000003</c:v>
                </c:pt>
                <c:pt idx="21">
                  <c:v>48.290000999999997</c:v>
                </c:pt>
                <c:pt idx="22">
                  <c:v>48.959999000000003</c:v>
                </c:pt>
                <c:pt idx="23">
                  <c:v>51.310001</c:v>
                </c:pt>
                <c:pt idx="24">
                  <c:v>52.919998</c:v>
                </c:pt>
                <c:pt idx="25">
                  <c:v>52.02</c:v>
                </c:pt>
                <c:pt idx="26">
                  <c:v>51.59</c:v>
                </c:pt>
                <c:pt idx="27">
                  <c:v>52.77</c:v>
                </c:pt>
                <c:pt idx="28">
                  <c:v>56.02</c:v>
                </c:pt>
                <c:pt idx="29">
                  <c:v>58</c:v>
                </c:pt>
                <c:pt idx="30">
                  <c:v>58.080002</c:v>
                </c:pt>
                <c:pt idx="31">
                  <c:v>62</c:v>
                </c:pt>
                <c:pt idx="32">
                  <c:v>63.84</c:v>
                </c:pt>
                <c:pt idx="33">
                  <c:v>64.110000999999997</c:v>
                </c:pt>
                <c:pt idx="34">
                  <c:v>63.73</c:v>
                </c:pt>
                <c:pt idx="35">
                  <c:v>65.339995999999999</c:v>
                </c:pt>
                <c:pt idx="36">
                  <c:v>65.540001000000004</c:v>
                </c:pt>
                <c:pt idx="37">
                  <c:v>65.389999000000003</c:v>
                </c:pt>
                <c:pt idx="38">
                  <c:v>67.180000000000007</c:v>
                </c:pt>
                <c:pt idx="39">
                  <c:v>66.660004000000001</c:v>
                </c:pt>
                <c:pt idx="40">
                  <c:v>65.290001000000004</c:v>
                </c:pt>
                <c:pt idx="41">
                  <c:v>68</c:v>
                </c:pt>
                <c:pt idx="42">
                  <c:v>69.400002000000001</c:v>
                </c:pt>
                <c:pt idx="43">
                  <c:v>69</c:v>
                </c:pt>
                <c:pt idx="44">
                  <c:v>69.339995999999999</c:v>
                </c:pt>
                <c:pt idx="45">
                  <c:v>68.440002000000007</c:v>
                </c:pt>
                <c:pt idx="46">
                  <c:v>69.029999000000004</c:v>
                </c:pt>
                <c:pt idx="47">
                  <c:v>69.970000999999996</c:v>
                </c:pt>
                <c:pt idx="48">
                  <c:v>72.75</c:v>
                </c:pt>
                <c:pt idx="49">
                  <c:v>74.779999000000004</c:v>
                </c:pt>
                <c:pt idx="50">
                  <c:v>75.819999999999993</c:v>
                </c:pt>
                <c:pt idx="51">
                  <c:v>73.300003000000004</c:v>
                </c:pt>
                <c:pt idx="52">
                  <c:v>77.459998999999996</c:v>
                </c:pt>
                <c:pt idx="53">
                  <c:v>78.540001000000004</c:v>
                </c:pt>
                <c:pt idx="54">
                  <c:v>77.089995999999999</c:v>
                </c:pt>
                <c:pt idx="55">
                  <c:v>78.550003000000004</c:v>
                </c:pt>
                <c:pt idx="56">
                  <c:v>81.199996999999996</c:v>
                </c:pt>
                <c:pt idx="57">
                  <c:v>82.870002999999997</c:v>
                </c:pt>
                <c:pt idx="58">
                  <c:v>85.400002000000001</c:v>
                </c:pt>
                <c:pt idx="59">
                  <c:v>87.779999000000004</c:v>
                </c:pt>
                <c:pt idx="60">
                  <c:v>88.360000999999997</c:v>
                </c:pt>
              </c:numCache>
            </c:numRef>
          </c:val>
          <c:smooth val="0"/>
        </c:ser>
        <c:ser>
          <c:idx val="1"/>
          <c:order val="1"/>
          <c:tx>
            <c:strRef>
              <c:f>'[STOCK_CHARTS_BADM1030.xlsm]RSG_5YEAR-MONTHLY'!$C$1</c:f>
              <c:strCache>
                <c:ptCount val="1"/>
                <c:pt idx="0">
                  <c:v>Low</c:v>
                </c:pt>
              </c:strCache>
            </c:strRef>
          </c:tx>
          <c:spPr>
            <a:ln w="28575" cap="rnd">
              <a:solidFill>
                <a:schemeClr val="accent2"/>
              </a:solidFill>
              <a:round/>
            </a:ln>
            <a:effectLst/>
          </c:spPr>
          <c:marker>
            <c:symbol val="none"/>
          </c:marker>
          <c:cat>
            <c:numRef>
              <c:f>'[STOCK_CHARTS_BADM1030.xlsm]RSG_5YEAR-MONTHLY'!$A$2:$A$62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'[STOCK_CHARTS_BADM1030.xlsm]RSG_5YEAR-MONTHLY'!$C$2:$C$62</c:f>
              <c:numCache>
                <c:formatCode>General</c:formatCode>
                <c:ptCount val="61"/>
                <c:pt idx="0">
                  <c:v>36.720001000000003</c:v>
                </c:pt>
                <c:pt idx="1">
                  <c:v>37.509998000000003</c:v>
                </c:pt>
                <c:pt idx="2">
                  <c:v>38.520000000000003</c:v>
                </c:pt>
                <c:pt idx="3">
                  <c:v>37.18</c:v>
                </c:pt>
                <c:pt idx="4">
                  <c:v>37.549999</c:v>
                </c:pt>
                <c:pt idx="5">
                  <c:v>38.349997999999999</c:v>
                </c:pt>
                <c:pt idx="6">
                  <c:v>39.639999000000003</c:v>
                </c:pt>
                <c:pt idx="7">
                  <c:v>38.950001</c:v>
                </c:pt>
                <c:pt idx="8">
                  <c:v>39.939999</c:v>
                </c:pt>
                <c:pt idx="9">
                  <c:v>39.25</c:v>
                </c:pt>
                <c:pt idx="10">
                  <c:v>39.150002000000001</c:v>
                </c:pt>
                <c:pt idx="11">
                  <c:v>38.990001999999997</c:v>
                </c:pt>
                <c:pt idx="12">
                  <c:v>39.169998</c:v>
                </c:pt>
                <c:pt idx="13">
                  <c:v>39.479999999999997</c:v>
                </c:pt>
                <c:pt idx="14">
                  <c:v>39.830002</c:v>
                </c:pt>
                <c:pt idx="15">
                  <c:v>40.669998</c:v>
                </c:pt>
                <c:pt idx="16">
                  <c:v>42.77</c:v>
                </c:pt>
                <c:pt idx="17">
                  <c:v>42.73</c:v>
                </c:pt>
                <c:pt idx="18">
                  <c:v>41.82</c:v>
                </c:pt>
                <c:pt idx="19">
                  <c:v>42.560001</c:v>
                </c:pt>
                <c:pt idx="20">
                  <c:v>46</c:v>
                </c:pt>
                <c:pt idx="21">
                  <c:v>45.560001</c:v>
                </c:pt>
                <c:pt idx="22">
                  <c:v>46.790000999999997</c:v>
                </c:pt>
                <c:pt idx="23">
                  <c:v>47.950001</c:v>
                </c:pt>
                <c:pt idx="24">
                  <c:v>51.040000999999997</c:v>
                </c:pt>
                <c:pt idx="25">
                  <c:v>50.080002</c:v>
                </c:pt>
                <c:pt idx="26">
                  <c:v>49.419998</c:v>
                </c:pt>
                <c:pt idx="27">
                  <c:v>49.18</c:v>
                </c:pt>
                <c:pt idx="28">
                  <c:v>50.889999000000003</c:v>
                </c:pt>
                <c:pt idx="29">
                  <c:v>55.07</c:v>
                </c:pt>
                <c:pt idx="30">
                  <c:v>56.169998</c:v>
                </c:pt>
                <c:pt idx="31">
                  <c:v>56.830002</c:v>
                </c:pt>
                <c:pt idx="32">
                  <c:v>61.619999</c:v>
                </c:pt>
                <c:pt idx="33">
                  <c:v>62.119999</c:v>
                </c:pt>
                <c:pt idx="34">
                  <c:v>61.009998000000003</c:v>
                </c:pt>
                <c:pt idx="35">
                  <c:v>62.759998000000003</c:v>
                </c:pt>
                <c:pt idx="36">
                  <c:v>63.450001</c:v>
                </c:pt>
                <c:pt idx="37">
                  <c:v>63.610000999999997</c:v>
                </c:pt>
                <c:pt idx="38">
                  <c:v>64.430000000000007</c:v>
                </c:pt>
                <c:pt idx="39">
                  <c:v>62.459999000000003</c:v>
                </c:pt>
                <c:pt idx="40">
                  <c:v>62.049999</c:v>
                </c:pt>
                <c:pt idx="41">
                  <c:v>63.66</c:v>
                </c:pt>
                <c:pt idx="42">
                  <c:v>66.360000999999997</c:v>
                </c:pt>
                <c:pt idx="43">
                  <c:v>60.259998000000003</c:v>
                </c:pt>
                <c:pt idx="44">
                  <c:v>65.330001999999993</c:v>
                </c:pt>
                <c:pt idx="45">
                  <c:v>64.480002999999996</c:v>
                </c:pt>
                <c:pt idx="46">
                  <c:v>64.129997000000003</c:v>
                </c:pt>
                <c:pt idx="47">
                  <c:v>67.529999000000004</c:v>
                </c:pt>
                <c:pt idx="48">
                  <c:v>67.879997000000003</c:v>
                </c:pt>
                <c:pt idx="49">
                  <c:v>71.980002999999996</c:v>
                </c:pt>
                <c:pt idx="50">
                  <c:v>72.120002999999997</c:v>
                </c:pt>
                <c:pt idx="51">
                  <c:v>67.480002999999996</c:v>
                </c:pt>
                <c:pt idx="52">
                  <c:v>71.279999000000004</c:v>
                </c:pt>
                <c:pt idx="53">
                  <c:v>68.940002000000007</c:v>
                </c:pt>
                <c:pt idx="54">
                  <c:v>70.419998000000007</c:v>
                </c:pt>
                <c:pt idx="55">
                  <c:v>75.029999000000004</c:v>
                </c:pt>
                <c:pt idx="56">
                  <c:v>77.440002000000007</c:v>
                </c:pt>
                <c:pt idx="57">
                  <c:v>76.129997000000003</c:v>
                </c:pt>
                <c:pt idx="58">
                  <c:v>81.489998</c:v>
                </c:pt>
                <c:pt idx="59">
                  <c:v>84.120002999999997</c:v>
                </c:pt>
                <c:pt idx="60">
                  <c:v>86.18</c:v>
                </c:pt>
              </c:numCache>
            </c:numRef>
          </c:val>
          <c:smooth val="0"/>
        </c:ser>
        <c:dLbls>
          <c:showLegendKey val="0"/>
          <c:showVal val="0"/>
          <c:showCatName val="0"/>
          <c:showSerName val="0"/>
          <c:showPercent val="0"/>
          <c:showBubbleSize val="0"/>
        </c:dLbls>
        <c:marker val="1"/>
        <c:smooth val="0"/>
        <c:axId val="382749696"/>
        <c:axId val="395003008"/>
      </c:lineChart>
      <c:dateAx>
        <c:axId val="382749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003008"/>
        <c:crosses val="autoZero"/>
        <c:auto val="1"/>
        <c:lblOffset val="100"/>
        <c:baseTimeUnit val="months"/>
      </c:dateAx>
      <c:valAx>
        <c:axId val="395003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74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RSG 6 MONTH DAILY</a:t>
            </a:r>
          </a:p>
        </c:rich>
      </c:tx>
      <c:overlay val="0"/>
      <c:spPr>
        <a:noFill/>
        <a:ln>
          <a:noFill/>
        </a:ln>
        <a:effectLst/>
      </c:spPr>
    </c:title>
    <c:autoTitleDeleted val="0"/>
    <c:plotArea>
      <c:layout/>
      <c:barChart>
        <c:barDir val="col"/>
        <c:grouping val="clustered"/>
        <c:varyColors val="0"/>
        <c:ser>
          <c:idx val="0"/>
          <c:order val="0"/>
          <c:tx>
            <c:strRef>
              <c:f>'[STOCK_CHARTS_BADM1030.xlsm]RSG_6MONTH-DAILY'!$B$1</c:f>
              <c:strCache>
                <c:ptCount val="1"/>
                <c:pt idx="0">
                  <c:v>Volume</c:v>
                </c:pt>
              </c:strCache>
            </c:strRef>
          </c:tx>
          <c:spPr>
            <a:solidFill>
              <a:schemeClr val="accent1"/>
            </a:solidFill>
            <a:ln w="31750">
              <a:noFill/>
            </a:ln>
            <a:effectLst/>
          </c:spPr>
          <c:invertIfNegative val="0"/>
          <c:cat>
            <c:numRef>
              <c:f>'[STOCK_CHARTS_BADM1030.xlsm]RSG_6MONTH-DAILY'!$A$2:$A$126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'[STOCK_CHARTS_BADM1030.xlsm]RSG_6MONTH-DAILY'!$B$2:$B$126</c:f>
              <c:numCache>
                <c:formatCode>General</c:formatCode>
                <c:ptCount val="125"/>
                <c:pt idx="0">
                  <c:v>1572700</c:v>
                </c:pt>
                <c:pt idx="1">
                  <c:v>2319600</c:v>
                </c:pt>
                <c:pt idx="2">
                  <c:v>1488900</c:v>
                </c:pt>
                <c:pt idx="3">
                  <c:v>1285200</c:v>
                </c:pt>
                <c:pt idx="4">
                  <c:v>1274100</c:v>
                </c:pt>
                <c:pt idx="5">
                  <c:v>908800</c:v>
                </c:pt>
                <c:pt idx="6">
                  <c:v>1063300</c:v>
                </c:pt>
                <c:pt idx="7">
                  <c:v>1348900</c:v>
                </c:pt>
                <c:pt idx="8">
                  <c:v>1765300</c:v>
                </c:pt>
                <c:pt idx="9">
                  <c:v>1389100</c:v>
                </c:pt>
                <c:pt idx="10">
                  <c:v>1028100</c:v>
                </c:pt>
                <c:pt idx="11">
                  <c:v>1050700</c:v>
                </c:pt>
                <c:pt idx="12">
                  <c:v>1696900</c:v>
                </c:pt>
                <c:pt idx="13">
                  <c:v>1284300</c:v>
                </c:pt>
                <c:pt idx="14">
                  <c:v>1241400</c:v>
                </c:pt>
                <c:pt idx="15">
                  <c:v>688500</c:v>
                </c:pt>
                <c:pt idx="16">
                  <c:v>852000</c:v>
                </c:pt>
                <c:pt idx="17">
                  <c:v>891800</c:v>
                </c:pt>
                <c:pt idx="18">
                  <c:v>747200</c:v>
                </c:pt>
                <c:pt idx="19">
                  <c:v>842800</c:v>
                </c:pt>
                <c:pt idx="20">
                  <c:v>1284400</c:v>
                </c:pt>
                <c:pt idx="21">
                  <c:v>1063400</c:v>
                </c:pt>
                <c:pt idx="22">
                  <c:v>1485900</c:v>
                </c:pt>
                <c:pt idx="23">
                  <c:v>1188900</c:v>
                </c:pt>
                <c:pt idx="24">
                  <c:v>1211300</c:v>
                </c:pt>
                <c:pt idx="25">
                  <c:v>1479900</c:v>
                </c:pt>
                <c:pt idx="26">
                  <c:v>2042000</c:v>
                </c:pt>
                <c:pt idx="27">
                  <c:v>1393200</c:v>
                </c:pt>
                <c:pt idx="28">
                  <c:v>1139800</c:v>
                </c:pt>
                <c:pt idx="29">
                  <c:v>1567300</c:v>
                </c:pt>
                <c:pt idx="30">
                  <c:v>2749500</c:v>
                </c:pt>
                <c:pt idx="31">
                  <c:v>1530800</c:v>
                </c:pt>
                <c:pt idx="32">
                  <c:v>1082300</c:v>
                </c:pt>
                <c:pt idx="33">
                  <c:v>1218300</c:v>
                </c:pt>
                <c:pt idx="34">
                  <c:v>886200</c:v>
                </c:pt>
                <c:pt idx="35">
                  <c:v>1034600</c:v>
                </c:pt>
                <c:pt idx="36">
                  <c:v>999300</c:v>
                </c:pt>
                <c:pt idx="37">
                  <c:v>1455800</c:v>
                </c:pt>
                <c:pt idx="38">
                  <c:v>850300</c:v>
                </c:pt>
                <c:pt idx="39">
                  <c:v>1977200</c:v>
                </c:pt>
                <c:pt idx="40">
                  <c:v>987500</c:v>
                </c:pt>
                <c:pt idx="41">
                  <c:v>1155800</c:v>
                </c:pt>
                <c:pt idx="42">
                  <c:v>926300</c:v>
                </c:pt>
                <c:pt idx="43">
                  <c:v>1149600</c:v>
                </c:pt>
                <c:pt idx="44">
                  <c:v>1348600</c:v>
                </c:pt>
                <c:pt idx="45">
                  <c:v>1142800</c:v>
                </c:pt>
                <c:pt idx="46">
                  <c:v>826900</c:v>
                </c:pt>
                <c:pt idx="47">
                  <c:v>1136400</c:v>
                </c:pt>
                <c:pt idx="48">
                  <c:v>927400</c:v>
                </c:pt>
                <c:pt idx="49">
                  <c:v>1082100</c:v>
                </c:pt>
                <c:pt idx="50">
                  <c:v>2331600</c:v>
                </c:pt>
                <c:pt idx="51">
                  <c:v>1666400</c:v>
                </c:pt>
                <c:pt idx="52">
                  <c:v>1157200</c:v>
                </c:pt>
                <c:pt idx="53">
                  <c:v>1127300</c:v>
                </c:pt>
                <c:pt idx="54">
                  <c:v>957200</c:v>
                </c:pt>
                <c:pt idx="55">
                  <c:v>1311500</c:v>
                </c:pt>
                <c:pt idx="56">
                  <c:v>1000600</c:v>
                </c:pt>
                <c:pt idx="57">
                  <c:v>1063700</c:v>
                </c:pt>
                <c:pt idx="58">
                  <c:v>1217300</c:v>
                </c:pt>
                <c:pt idx="59">
                  <c:v>1418200</c:v>
                </c:pt>
                <c:pt idx="60">
                  <c:v>1327400</c:v>
                </c:pt>
                <c:pt idx="61">
                  <c:v>1359400</c:v>
                </c:pt>
                <c:pt idx="62">
                  <c:v>950000</c:v>
                </c:pt>
                <c:pt idx="63">
                  <c:v>2207500</c:v>
                </c:pt>
                <c:pt idx="64">
                  <c:v>851500</c:v>
                </c:pt>
                <c:pt idx="65">
                  <c:v>1122700</c:v>
                </c:pt>
                <c:pt idx="66">
                  <c:v>1057800</c:v>
                </c:pt>
                <c:pt idx="67">
                  <c:v>854900</c:v>
                </c:pt>
                <c:pt idx="68">
                  <c:v>1194500</c:v>
                </c:pt>
                <c:pt idx="69">
                  <c:v>2376600</c:v>
                </c:pt>
                <c:pt idx="70">
                  <c:v>1381000</c:v>
                </c:pt>
                <c:pt idx="71">
                  <c:v>1426900</c:v>
                </c:pt>
                <c:pt idx="72">
                  <c:v>945600</c:v>
                </c:pt>
                <c:pt idx="73">
                  <c:v>1029300</c:v>
                </c:pt>
                <c:pt idx="74">
                  <c:v>1135300</c:v>
                </c:pt>
                <c:pt idx="75">
                  <c:v>965400</c:v>
                </c:pt>
                <c:pt idx="76">
                  <c:v>1009100</c:v>
                </c:pt>
                <c:pt idx="77">
                  <c:v>1749400</c:v>
                </c:pt>
                <c:pt idx="78">
                  <c:v>1350500</c:v>
                </c:pt>
                <c:pt idx="79">
                  <c:v>1435500</c:v>
                </c:pt>
                <c:pt idx="80">
                  <c:v>1769300</c:v>
                </c:pt>
                <c:pt idx="81">
                  <c:v>1494600</c:v>
                </c:pt>
                <c:pt idx="82">
                  <c:v>897500</c:v>
                </c:pt>
                <c:pt idx="83">
                  <c:v>886600</c:v>
                </c:pt>
                <c:pt idx="84">
                  <c:v>1164000</c:v>
                </c:pt>
                <c:pt idx="85">
                  <c:v>811700</c:v>
                </c:pt>
                <c:pt idx="86">
                  <c:v>1232300</c:v>
                </c:pt>
                <c:pt idx="87">
                  <c:v>881400</c:v>
                </c:pt>
                <c:pt idx="88">
                  <c:v>1004600</c:v>
                </c:pt>
                <c:pt idx="89">
                  <c:v>965500</c:v>
                </c:pt>
                <c:pt idx="90">
                  <c:v>1105800</c:v>
                </c:pt>
                <c:pt idx="91">
                  <c:v>1567800</c:v>
                </c:pt>
                <c:pt idx="92">
                  <c:v>1082000</c:v>
                </c:pt>
                <c:pt idx="93">
                  <c:v>968000</c:v>
                </c:pt>
                <c:pt idx="94">
                  <c:v>1257900</c:v>
                </c:pt>
                <c:pt idx="95">
                  <c:v>803200</c:v>
                </c:pt>
                <c:pt idx="96">
                  <c:v>868500</c:v>
                </c:pt>
                <c:pt idx="97">
                  <c:v>1013300</c:v>
                </c:pt>
                <c:pt idx="98">
                  <c:v>921400</c:v>
                </c:pt>
                <c:pt idx="99">
                  <c:v>887300</c:v>
                </c:pt>
                <c:pt idx="100">
                  <c:v>1720400</c:v>
                </c:pt>
                <c:pt idx="101">
                  <c:v>1174700</c:v>
                </c:pt>
                <c:pt idx="102">
                  <c:v>1318600</c:v>
                </c:pt>
                <c:pt idx="103">
                  <c:v>1197600</c:v>
                </c:pt>
                <c:pt idx="104">
                  <c:v>956700</c:v>
                </c:pt>
                <c:pt idx="105">
                  <c:v>1565600</c:v>
                </c:pt>
                <c:pt idx="106">
                  <c:v>872100</c:v>
                </c:pt>
                <c:pt idx="107">
                  <c:v>907700</c:v>
                </c:pt>
                <c:pt idx="108">
                  <c:v>722000</c:v>
                </c:pt>
                <c:pt idx="109">
                  <c:v>610200</c:v>
                </c:pt>
                <c:pt idx="110">
                  <c:v>957600</c:v>
                </c:pt>
                <c:pt idx="111">
                  <c:v>1002500</c:v>
                </c:pt>
                <c:pt idx="112">
                  <c:v>616500</c:v>
                </c:pt>
                <c:pt idx="113">
                  <c:v>783600</c:v>
                </c:pt>
                <c:pt idx="114">
                  <c:v>715300</c:v>
                </c:pt>
                <c:pt idx="115">
                  <c:v>825300</c:v>
                </c:pt>
                <c:pt idx="116">
                  <c:v>808000</c:v>
                </c:pt>
                <c:pt idx="117">
                  <c:v>1576400</c:v>
                </c:pt>
                <c:pt idx="118">
                  <c:v>1700600</c:v>
                </c:pt>
                <c:pt idx="119">
                  <c:v>948300</c:v>
                </c:pt>
                <c:pt idx="120">
                  <c:v>906400</c:v>
                </c:pt>
                <c:pt idx="121">
                  <c:v>1181300</c:v>
                </c:pt>
                <c:pt idx="122">
                  <c:v>1159400</c:v>
                </c:pt>
                <c:pt idx="123">
                  <c:v>1211900</c:v>
                </c:pt>
                <c:pt idx="124">
                  <c:v>720300</c:v>
                </c:pt>
              </c:numCache>
            </c:numRef>
          </c:val>
        </c:ser>
        <c:dLbls>
          <c:showLegendKey val="0"/>
          <c:showVal val="0"/>
          <c:showCatName val="0"/>
          <c:showSerName val="0"/>
          <c:showPercent val="0"/>
          <c:showBubbleSize val="0"/>
        </c:dLbls>
        <c:gapWidth val="150"/>
        <c:axId val="395018624"/>
        <c:axId val="395046272"/>
      </c:barChart>
      <c:stockChart>
        <c:ser>
          <c:idx val="1"/>
          <c:order val="1"/>
          <c:tx>
            <c:strRef>
              <c:f>'[STOCK_CHARTS_BADM1030.xlsm]RSG_6MONTH-DAILY'!$C$1</c:f>
              <c:strCache>
                <c:ptCount val="1"/>
                <c:pt idx="0">
                  <c:v>High</c:v>
                </c:pt>
              </c:strCache>
            </c:strRef>
          </c:tx>
          <c:spPr>
            <a:ln w="31750" cap="rnd">
              <a:noFill/>
              <a:round/>
            </a:ln>
            <a:effectLst/>
          </c:spPr>
          <c:marker>
            <c:symbol val="none"/>
          </c:marker>
          <c:cat>
            <c:numRef>
              <c:f>'[STOCK_CHARTS_BADM1030.xlsm]RSG_6MONTH-DAILY'!$A$2:$A$126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'[STOCK_CHARTS_BADM1030.xlsm]RSG_6MONTH-DAILY'!$C$2:$C$126</c:f>
              <c:numCache>
                <c:formatCode>General</c:formatCode>
                <c:ptCount val="125"/>
                <c:pt idx="0">
                  <c:v>71.559997999999993</c:v>
                </c:pt>
                <c:pt idx="1">
                  <c:v>71.720000999999996</c:v>
                </c:pt>
                <c:pt idx="2">
                  <c:v>72.980002999999996</c:v>
                </c:pt>
                <c:pt idx="3">
                  <c:v>73.699996999999996</c:v>
                </c:pt>
                <c:pt idx="4">
                  <c:v>74</c:v>
                </c:pt>
                <c:pt idx="5">
                  <c:v>74.25</c:v>
                </c:pt>
                <c:pt idx="6">
                  <c:v>74.620002999999997</c:v>
                </c:pt>
                <c:pt idx="7">
                  <c:v>74.720000999999996</c:v>
                </c:pt>
                <c:pt idx="8">
                  <c:v>74.269997000000004</c:v>
                </c:pt>
                <c:pt idx="9">
                  <c:v>74.919998000000007</c:v>
                </c:pt>
                <c:pt idx="10">
                  <c:v>74.959998999999996</c:v>
                </c:pt>
                <c:pt idx="11">
                  <c:v>75.25</c:v>
                </c:pt>
                <c:pt idx="12">
                  <c:v>76.260002</c:v>
                </c:pt>
                <c:pt idx="13">
                  <c:v>76.599997999999999</c:v>
                </c:pt>
                <c:pt idx="14">
                  <c:v>76.440002000000007</c:v>
                </c:pt>
                <c:pt idx="15">
                  <c:v>76.330001999999993</c:v>
                </c:pt>
                <c:pt idx="16">
                  <c:v>76.660004000000001</c:v>
                </c:pt>
                <c:pt idx="17">
                  <c:v>76.019997000000004</c:v>
                </c:pt>
                <c:pt idx="18">
                  <c:v>76.449996999999996</c:v>
                </c:pt>
                <c:pt idx="19">
                  <c:v>76.690002000000007</c:v>
                </c:pt>
                <c:pt idx="20">
                  <c:v>77.089995999999999</c:v>
                </c:pt>
                <c:pt idx="21">
                  <c:v>76.989998</c:v>
                </c:pt>
                <c:pt idx="22">
                  <c:v>77.760002</c:v>
                </c:pt>
                <c:pt idx="23">
                  <c:v>78.239998</c:v>
                </c:pt>
                <c:pt idx="24">
                  <c:v>78.010002</c:v>
                </c:pt>
                <c:pt idx="25">
                  <c:v>77.739998</c:v>
                </c:pt>
                <c:pt idx="26">
                  <c:v>77.349997999999999</c:v>
                </c:pt>
                <c:pt idx="27">
                  <c:v>77.709998999999996</c:v>
                </c:pt>
                <c:pt idx="28">
                  <c:v>77.589995999999999</c:v>
                </c:pt>
                <c:pt idx="29">
                  <c:v>77.889999000000003</c:v>
                </c:pt>
                <c:pt idx="30">
                  <c:v>77.440002000000007</c:v>
                </c:pt>
                <c:pt idx="31">
                  <c:v>77.75</c:v>
                </c:pt>
                <c:pt idx="32">
                  <c:v>77.639999000000003</c:v>
                </c:pt>
                <c:pt idx="33">
                  <c:v>77.470000999999996</c:v>
                </c:pt>
                <c:pt idx="34">
                  <c:v>77.690002000000007</c:v>
                </c:pt>
                <c:pt idx="35">
                  <c:v>77.959998999999996</c:v>
                </c:pt>
                <c:pt idx="36">
                  <c:v>77.930000000000007</c:v>
                </c:pt>
                <c:pt idx="37">
                  <c:v>78.169998000000007</c:v>
                </c:pt>
                <c:pt idx="38">
                  <c:v>78.069999999999993</c:v>
                </c:pt>
                <c:pt idx="39">
                  <c:v>78.550003000000004</c:v>
                </c:pt>
                <c:pt idx="40">
                  <c:v>78.839995999999999</c:v>
                </c:pt>
                <c:pt idx="41">
                  <c:v>78.980002999999996</c:v>
                </c:pt>
                <c:pt idx="42">
                  <c:v>78.419998000000007</c:v>
                </c:pt>
                <c:pt idx="43">
                  <c:v>78.599997999999999</c:v>
                </c:pt>
                <c:pt idx="44">
                  <c:v>78.639999000000003</c:v>
                </c:pt>
                <c:pt idx="45">
                  <c:v>78.580001999999993</c:v>
                </c:pt>
                <c:pt idx="46">
                  <c:v>78.5</c:v>
                </c:pt>
                <c:pt idx="47">
                  <c:v>78.639999000000003</c:v>
                </c:pt>
                <c:pt idx="48">
                  <c:v>78.819999999999993</c:v>
                </c:pt>
                <c:pt idx="49">
                  <c:v>79.089995999999999</c:v>
                </c:pt>
                <c:pt idx="50">
                  <c:v>79.230002999999996</c:v>
                </c:pt>
                <c:pt idx="51">
                  <c:v>78.980002999999996</c:v>
                </c:pt>
                <c:pt idx="52">
                  <c:v>79.349997999999999</c:v>
                </c:pt>
                <c:pt idx="53">
                  <c:v>78.849997999999999</c:v>
                </c:pt>
                <c:pt idx="54">
                  <c:v>79.419998000000007</c:v>
                </c:pt>
                <c:pt idx="55">
                  <c:v>79.470000999999996</c:v>
                </c:pt>
                <c:pt idx="56">
                  <c:v>79.830001999999993</c:v>
                </c:pt>
                <c:pt idx="57">
                  <c:v>80.620002999999997</c:v>
                </c:pt>
                <c:pt idx="58">
                  <c:v>81.199996999999996</c:v>
                </c:pt>
                <c:pt idx="59">
                  <c:v>80.709998999999996</c:v>
                </c:pt>
                <c:pt idx="60">
                  <c:v>80.610000999999997</c:v>
                </c:pt>
                <c:pt idx="61">
                  <c:v>80.949996999999996</c:v>
                </c:pt>
                <c:pt idx="62">
                  <c:v>80.190002000000007</c:v>
                </c:pt>
                <c:pt idx="63">
                  <c:v>80.559997999999993</c:v>
                </c:pt>
                <c:pt idx="64">
                  <c:v>80.220000999999996</c:v>
                </c:pt>
                <c:pt idx="65">
                  <c:v>79.849997999999999</c:v>
                </c:pt>
                <c:pt idx="66">
                  <c:v>79.779999000000004</c:v>
                </c:pt>
                <c:pt idx="67">
                  <c:v>79.779999000000004</c:v>
                </c:pt>
                <c:pt idx="68">
                  <c:v>79.739998</c:v>
                </c:pt>
                <c:pt idx="69">
                  <c:v>78.110000999999997</c:v>
                </c:pt>
                <c:pt idx="70">
                  <c:v>78.260002</c:v>
                </c:pt>
                <c:pt idx="71">
                  <c:v>79.389999000000003</c:v>
                </c:pt>
                <c:pt idx="72">
                  <c:v>79.279999000000004</c:v>
                </c:pt>
                <c:pt idx="73">
                  <c:v>78.989998</c:v>
                </c:pt>
                <c:pt idx="74">
                  <c:v>79.260002</c:v>
                </c:pt>
                <c:pt idx="75">
                  <c:v>79.120002999999997</c:v>
                </c:pt>
                <c:pt idx="76">
                  <c:v>79.589995999999999</c:v>
                </c:pt>
                <c:pt idx="77">
                  <c:v>79.919998000000007</c:v>
                </c:pt>
                <c:pt idx="78">
                  <c:v>79.879997000000003</c:v>
                </c:pt>
                <c:pt idx="79">
                  <c:v>81.510002</c:v>
                </c:pt>
                <c:pt idx="80">
                  <c:v>82.400002000000001</c:v>
                </c:pt>
                <c:pt idx="81">
                  <c:v>82.870002999999997</c:v>
                </c:pt>
                <c:pt idx="82">
                  <c:v>82.779999000000004</c:v>
                </c:pt>
                <c:pt idx="83">
                  <c:v>82.260002</c:v>
                </c:pt>
                <c:pt idx="84">
                  <c:v>83.260002</c:v>
                </c:pt>
                <c:pt idx="85">
                  <c:v>83.349997999999999</c:v>
                </c:pt>
                <c:pt idx="86">
                  <c:v>83.099997999999999</c:v>
                </c:pt>
                <c:pt idx="87">
                  <c:v>82.919998000000007</c:v>
                </c:pt>
                <c:pt idx="88">
                  <c:v>82.82</c:v>
                </c:pt>
                <c:pt idx="89">
                  <c:v>84.190002000000007</c:v>
                </c:pt>
                <c:pt idx="90">
                  <c:v>83.790001000000004</c:v>
                </c:pt>
                <c:pt idx="91">
                  <c:v>84.209998999999996</c:v>
                </c:pt>
                <c:pt idx="92">
                  <c:v>84.300003000000004</c:v>
                </c:pt>
                <c:pt idx="93">
                  <c:v>85.360000999999997</c:v>
                </c:pt>
                <c:pt idx="94">
                  <c:v>85.309997999999993</c:v>
                </c:pt>
                <c:pt idx="95">
                  <c:v>85.279999000000004</c:v>
                </c:pt>
                <c:pt idx="96">
                  <c:v>85.400002000000001</c:v>
                </c:pt>
                <c:pt idx="97">
                  <c:v>85.260002</c:v>
                </c:pt>
                <c:pt idx="98">
                  <c:v>84.870002999999997</c:v>
                </c:pt>
                <c:pt idx="99">
                  <c:v>85.209998999999996</c:v>
                </c:pt>
                <c:pt idx="100">
                  <c:v>85.160004000000001</c:v>
                </c:pt>
                <c:pt idx="101">
                  <c:v>83.980002999999996</c:v>
                </c:pt>
                <c:pt idx="102">
                  <c:v>84.389999000000003</c:v>
                </c:pt>
                <c:pt idx="103">
                  <c:v>84.730002999999996</c:v>
                </c:pt>
                <c:pt idx="104">
                  <c:v>85.599997999999999</c:v>
                </c:pt>
                <c:pt idx="105">
                  <c:v>85.870002999999997</c:v>
                </c:pt>
                <c:pt idx="106">
                  <c:v>86.209998999999996</c:v>
                </c:pt>
                <c:pt idx="107">
                  <c:v>86.550003000000004</c:v>
                </c:pt>
                <c:pt idx="108">
                  <c:v>87.489998</c:v>
                </c:pt>
                <c:pt idx="109">
                  <c:v>87.160004000000001</c:v>
                </c:pt>
                <c:pt idx="110">
                  <c:v>86.860000999999997</c:v>
                </c:pt>
                <c:pt idx="111">
                  <c:v>86.82</c:v>
                </c:pt>
                <c:pt idx="112">
                  <c:v>86.970000999999996</c:v>
                </c:pt>
                <c:pt idx="113">
                  <c:v>87.209998999999996</c:v>
                </c:pt>
                <c:pt idx="114">
                  <c:v>87.269997000000004</c:v>
                </c:pt>
                <c:pt idx="115">
                  <c:v>87.160004000000001</c:v>
                </c:pt>
                <c:pt idx="116">
                  <c:v>86.82</c:v>
                </c:pt>
                <c:pt idx="117">
                  <c:v>87.379997000000003</c:v>
                </c:pt>
                <c:pt idx="118">
                  <c:v>87.519997000000004</c:v>
                </c:pt>
                <c:pt idx="119">
                  <c:v>87.769997000000004</c:v>
                </c:pt>
                <c:pt idx="120">
                  <c:v>87.779999000000004</c:v>
                </c:pt>
                <c:pt idx="121">
                  <c:v>86.889999000000003</c:v>
                </c:pt>
                <c:pt idx="122">
                  <c:v>86.75</c:v>
                </c:pt>
                <c:pt idx="123">
                  <c:v>86.760002</c:v>
                </c:pt>
                <c:pt idx="124">
                  <c:v>87.339995999999999</c:v>
                </c:pt>
              </c:numCache>
            </c:numRef>
          </c:val>
          <c:smooth val="0"/>
        </c:ser>
        <c:ser>
          <c:idx val="2"/>
          <c:order val="2"/>
          <c:tx>
            <c:strRef>
              <c:f>'[STOCK_CHARTS_BADM1030.xlsm]RSG_6MONTH-DAILY'!$D$1</c:f>
              <c:strCache>
                <c:ptCount val="1"/>
                <c:pt idx="0">
                  <c:v>Low</c:v>
                </c:pt>
              </c:strCache>
            </c:strRef>
          </c:tx>
          <c:spPr>
            <a:ln w="31750" cap="rnd">
              <a:noFill/>
              <a:round/>
            </a:ln>
            <a:effectLst/>
          </c:spPr>
          <c:marker>
            <c:symbol val="none"/>
          </c:marker>
          <c:cat>
            <c:numRef>
              <c:f>'[STOCK_CHARTS_BADM1030.xlsm]RSG_6MONTH-DAILY'!$A$2:$A$126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'[STOCK_CHARTS_BADM1030.xlsm]RSG_6MONTH-DAILY'!$D$2:$D$126</c:f>
              <c:numCache>
                <c:formatCode>General</c:formatCode>
                <c:ptCount val="125"/>
                <c:pt idx="0">
                  <c:v>70.900002000000001</c:v>
                </c:pt>
                <c:pt idx="1">
                  <c:v>70.419998000000007</c:v>
                </c:pt>
                <c:pt idx="2">
                  <c:v>71.739998</c:v>
                </c:pt>
                <c:pt idx="3">
                  <c:v>72.519997000000004</c:v>
                </c:pt>
                <c:pt idx="4">
                  <c:v>73.110000999999997</c:v>
                </c:pt>
                <c:pt idx="5">
                  <c:v>73.370002999999997</c:v>
                </c:pt>
                <c:pt idx="6">
                  <c:v>72.580001999999993</c:v>
                </c:pt>
                <c:pt idx="7">
                  <c:v>74.040001000000004</c:v>
                </c:pt>
                <c:pt idx="8">
                  <c:v>73.529999000000004</c:v>
                </c:pt>
                <c:pt idx="9">
                  <c:v>73.800003000000004</c:v>
                </c:pt>
                <c:pt idx="10">
                  <c:v>74.190002000000007</c:v>
                </c:pt>
                <c:pt idx="11">
                  <c:v>74.199996999999996</c:v>
                </c:pt>
                <c:pt idx="12">
                  <c:v>75.120002999999997</c:v>
                </c:pt>
                <c:pt idx="13">
                  <c:v>75.680000000000007</c:v>
                </c:pt>
                <c:pt idx="14">
                  <c:v>75.959998999999996</c:v>
                </c:pt>
                <c:pt idx="15">
                  <c:v>75.610000999999997</c:v>
                </c:pt>
                <c:pt idx="16">
                  <c:v>76.029999000000004</c:v>
                </c:pt>
                <c:pt idx="17">
                  <c:v>75.300003000000004</c:v>
                </c:pt>
                <c:pt idx="18">
                  <c:v>75.650002000000001</c:v>
                </c:pt>
                <c:pt idx="19">
                  <c:v>75.699996999999996</c:v>
                </c:pt>
                <c:pt idx="20">
                  <c:v>76.169998000000007</c:v>
                </c:pt>
                <c:pt idx="21">
                  <c:v>76.430000000000007</c:v>
                </c:pt>
                <c:pt idx="22">
                  <c:v>76.580001999999993</c:v>
                </c:pt>
                <c:pt idx="23">
                  <c:v>77.5</c:v>
                </c:pt>
                <c:pt idx="24">
                  <c:v>77.230002999999996</c:v>
                </c:pt>
                <c:pt idx="25">
                  <c:v>77.089995999999999</c:v>
                </c:pt>
                <c:pt idx="26">
                  <c:v>75.029999000000004</c:v>
                </c:pt>
                <c:pt idx="27">
                  <c:v>76.470000999999996</c:v>
                </c:pt>
                <c:pt idx="28">
                  <c:v>76.870002999999997</c:v>
                </c:pt>
                <c:pt idx="29">
                  <c:v>76.879997000000003</c:v>
                </c:pt>
                <c:pt idx="30">
                  <c:v>76.519997000000004</c:v>
                </c:pt>
                <c:pt idx="31">
                  <c:v>77.069999999999993</c:v>
                </c:pt>
                <c:pt idx="32">
                  <c:v>77.139999000000003</c:v>
                </c:pt>
                <c:pt idx="33">
                  <c:v>76.860000999999997</c:v>
                </c:pt>
                <c:pt idx="34">
                  <c:v>76.940002000000007</c:v>
                </c:pt>
                <c:pt idx="35">
                  <c:v>77.150002000000001</c:v>
                </c:pt>
                <c:pt idx="36">
                  <c:v>77.470000999999996</c:v>
                </c:pt>
                <c:pt idx="37">
                  <c:v>77.419998000000007</c:v>
                </c:pt>
                <c:pt idx="38">
                  <c:v>77.260002</c:v>
                </c:pt>
                <c:pt idx="39">
                  <c:v>77.839995999999999</c:v>
                </c:pt>
                <c:pt idx="40">
                  <c:v>78.209998999999996</c:v>
                </c:pt>
                <c:pt idx="41">
                  <c:v>77.610000999999997</c:v>
                </c:pt>
                <c:pt idx="42">
                  <c:v>78</c:v>
                </c:pt>
                <c:pt idx="43">
                  <c:v>78.059997999999993</c:v>
                </c:pt>
                <c:pt idx="44">
                  <c:v>78.069999999999993</c:v>
                </c:pt>
                <c:pt idx="45">
                  <c:v>77.440002000000007</c:v>
                </c:pt>
                <c:pt idx="46">
                  <c:v>77.930000000000007</c:v>
                </c:pt>
                <c:pt idx="47">
                  <c:v>78.209998999999996</c:v>
                </c:pt>
                <c:pt idx="48">
                  <c:v>78.339995999999999</c:v>
                </c:pt>
                <c:pt idx="49">
                  <c:v>78.550003000000004</c:v>
                </c:pt>
                <c:pt idx="50">
                  <c:v>78.559997999999993</c:v>
                </c:pt>
                <c:pt idx="51">
                  <c:v>78.470000999999996</c:v>
                </c:pt>
                <c:pt idx="52">
                  <c:v>78.550003000000004</c:v>
                </c:pt>
                <c:pt idx="53">
                  <c:v>78.209998999999996</c:v>
                </c:pt>
                <c:pt idx="54">
                  <c:v>78.199996999999996</c:v>
                </c:pt>
                <c:pt idx="55">
                  <c:v>78.879997000000003</c:v>
                </c:pt>
                <c:pt idx="56">
                  <c:v>78.739998</c:v>
                </c:pt>
                <c:pt idx="57">
                  <c:v>79.760002</c:v>
                </c:pt>
                <c:pt idx="58">
                  <c:v>80.239998</c:v>
                </c:pt>
                <c:pt idx="59">
                  <c:v>80.120002999999997</c:v>
                </c:pt>
                <c:pt idx="60">
                  <c:v>80.029999000000004</c:v>
                </c:pt>
                <c:pt idx="61">
                  <c:v>79.540001000000004</c:v>
                </c:pt>
                <c:pt idx="62">
                  <c:v>79.459998999999996</c:v>
                </c:pt>
                <c:pt idx="63">
                  <c:v>79.5</c:v>
                </c:pt>
                <c:pt idx="64">
                  <c:v>79.430000000000007</c:v>
                </c:pt>
                <c:pt idx="65">
                  <c:v>79.419998000000007</c:v>
                </c:pt>
                <c:pt idx="66">
                  <c:v>79.269997000000004</c:v>
                </c:pt>
                <c:pt idx="67">
                  <c:v>79.220000999999996</c:v>
                </c:pt>
                <c:pt idx="68">
                  <c:v>79.239998</c:v>
                </c:pt>
                <c:pt idx="69">
                  <c:v>76.129997000000003</c:v>
                </c:pt>
                <c:pt idx="70">
                  <c:v>77.519997000000004</c:v>
                </c:pt>
                <c:pt idx="71">
                  <c:v>78.470000999999996</c:v>
                </c:pt>
                <c:pt idx="72">
                  <c:v>78.449996999999996</c:v>
                </c:pt>
                <c:pt idx="73">
                  <c:v>78.480002999999996</c:v>
                </c:pt>
                <c:pt idx="74">
                  <c:v>78.379997000000003</c:v>
                </c:pt>
                <c:pt idx="75">
                  <c:v>78.699996999999996</c:v>
                </c:pt>
                <c:pt idx="76">
                  <c:v>78.730002999999996</c:v>
                </c:pt>
                <c:pt idx="77">
                  <c:v>79.290001000000004</c:v>
                </c:pt>
                <c:pt idx="78">
                  <c:v>79.099997999999999</c:v>
                </c:pt>
                <c:pt idx="79">
                  <c:v>79.150002000000001</c:v>
                </c:pt>
                <c:pt idx="80">
                  <c:v>81.269997000000004</c:v>
                </c:pt>
                <c:pt idx="81">
                  <c:v>82.07</c:v>
                </c:pt>
                <c:pt idx="82">
                  <c:v>82.010002</c:v>
                </c:pt>
                <c:pt idx="83">
                  <c:v>81.489998</c:v>
                </c:pt>
                <c:pt idx="84">
                  <c:v>82.199996999999996</c:v>
                </c:pt>
                <c:pt idx="85">
                  <c:v>82.440002000000007</c:v>
                </c:pt>
                <c:pt idx="86">
                  <c:v>82.169998000000007</c:v>
                </c:pt>
                <c:pt idx="87">
                  <c:v>82.279999000000004</c:v>
                </c:pt>
                <c:pt idx="88">
                  <c:v>81.93</c:v>
                </c:pt>
                <c:pt idx="89">
                  <c:v>82.43</c:v>
                </c:pt>
                <c:pt idx="90">
                  <c:v>83.010002</c:v>
                </c:pt>
                <c:pt idx="91">
                  <c:v>83.589995999999999</c:v>
                </c:pt>
                <c:pt idx="92">
                  <c:v>83.209998999999996</c:v>
                </c:pt>
                <c:pt idx="93">
                  <c:v>84.029999000000004</c:v>
                </c:pt>
                <c:pt idx="94">
                  <c:v>84.410004000000001</c:v>
                </c:pt>
                <c:pt idx="95">
                  <c:v>84.5</c:v>
                </c:pt>
                <c:pt idx="96">
                  <c:v>84.900002000000001</c:v>
                </c:pt>
                <c:pt idx="97">
                  <c:v>84.870002999999997</c:v>
                </c:pt>
                <c:pt idx="98">
                  <c:v>84.169998000000007</c:v>
                </c:pt>
                <c:pt idx="99">
                  <c:v>84.190002000000007</c:v>
                </c:pt>
                <c:pt idx="100">
                  <c:v>84.019997000000004</c:v>
                </c:pt>
                <c:pt idx="101">
                  <c:v>83.169998000000007</c:v>
                </c:pt>
                <c:pt idx="102">
                  <c:v>83.75</c:v>
                </c:pt>
                <c:pt idx="103">
                  <c:v>83.480002999999996</c:v>
                </c:pt>
                <c:pt idx="104">
                  <c:v>84.660004000000001</c:v>
                </c:pt>
                <c:pt idx="105">
                  <c:v>84.120002999999997</c:v>
                </c:pt>
                <c:pt idx="106">
                  <c:v>84.629997000000003</c:v>
                </c:pt>
                <c:pt idx="107">
                  <c:v>85.769997000000004</c:v>
                </c:pt>
                <c:pt idx="108">
                  <c:v>86.68</c:v>
                </c:pt>
                <c:pt idx="109">
                  <c:v>86.330001999999993</c:v>
                </c:pt>
                <c:pt idx="110">
                  <c:v>85.870002999999997</c:v>
                </c:pt>
                <c:pt idx="111">
                  <c:v>86.040001000000004</c:v>
                </c:pt>
                <c:pt idx="112">
                  <c:v>85.910004000000001</c:v>
                </c:pt>
                <c:pt idx="113">
                  <c:v>85.690002000000007</c:v>
                </c:pt>
                <c:pt idx="114">
                  <c:v>86.610000999999997</c:v>
                </c:pt>
                <c:pt idx="115">
                  <c:v>86.260002</c:v>
                </c:pt>
                <c:pt idx="116">
                  <c:v>86.07</c:v>
                </c:pt>
                <c:pt idx="117">
                  <c:v>86.400002000000001</c:v>
                </c:pt>
                <c:pt idx="118">
                  <c:v>86.709998999999996</c:v>
                </c:pt>
                <c:pt idx="119">
                  <c:v>86.919998000000007</c:v>
                </c:pt>
                <c:pt idx="120">
                  <c:v>86.790001000000004</c:v>
                </c:pt>
                <c:pt idx="121">
                  <c:v>85.199996999999996</c:v>
                </c:pt>
                <c:pt idx="122">
                  <c:v>85.650002000000001</c:v>
                </c:pt>
                <c:pt idx="123">
                  <c:v>86.089995999999999</c:v>
                </c:pt>
                <c:pt idx="124">
                  <c:v>86.220000999999996</c:v>
                </c:pt>
              </c:numCache>
            </c:numRef>
          </c:val>
          <c:smooth val="0"/>
        </c:ser>
        <c:ser>
          <c:idx val="3"/>
          <c:order val="3"/>
          <c:tx>
            <c:strRef>
              <c:f>'[STOCK_CHARTS_BADM1030.xlsm]RSG_6MONTH-DAILY'!$E$1</c:f>
              <c:strCache>
                <c:ptCount val="1"/>
                <c:pt idx="0">
                  <c:v>Close</c:v>
                </c:pt>
              </c:strCache>
            </c:strRef>
          </c:tx>
          <c:spPr>
            <a:ln w="31750" cap="rnd">
              <a:noFill/>
              <a:round/>
            </a:ln>
            <a:effectLst/>
          </c:spPr>
          <c:marker>
            <c:symbol val="dot"/>
            <c:size val="5"/>
            <c:spPr>
              <a:solidFill>
                <a:schemeClr val="accent4"/>
              </a:solidFill>
              <a:ln w="9525">
                <a:solidFill>
                  <a:schemeClr val="accent4"/>
                </a:solidFill>
              </a:ln>
              <a:effectLst/>
            </c:spPr>
          </c:marker>
          <c:cat>
            <c:numRef>
              <c:f>'[STOCK_CHARTS_BADM1030.xlsm]RSG_6MONTH-DAILY'!$A$2:$A$126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'[STOCK_CHARTS_BADM1030.xlsm]RSG_6MONTH-DAILY'!$E$2:$E$126</c:f>
              <c:numCache>
                <c:formatCode>General</c:formatCode>
                <c:ptCount val="125"/>
                <c:pt idx="0">
                  <c:v>71.529999000000004</c:v>
                </c:pt>
                <c:pt idx="1">
                  <c:v>71.360000999999997</c:v>
                </c:pt>
                <c:pt idx="2">
                  <c:v>72.809997999999993</c:v>
                </c:pt>
                <c:pt idx="3">
                  <c:v>73.099997999999999</c:v>
                </c:pt>
                <c:pt idx="4">
                  <c:v>73.980002999999996</c:v>
                </c:pt>
                <c:pt idx="5">
                  <c:v>73.910004000000001</c:v>
                </c:pt>
                <c:pt idx="6">
                  <c:v>74.550003000000004</c:v>
                </c:pt>
                <c:pt idx="7">
                  <c:v>74.650002000000001</c:v>
                </c:pt>
                <c:pt idx="8">
                  <c:v>73.849997999999999</c:v>
                </c:pt>
                <c:pt idx="9">
                  <c:v>74.879997000000003</c:v>
                </c:pt>
                <c:pt idx="10">
                  <c:v>74.419998000000007</c:v>
                </c:pt>
                <c:pt idx="11">
                  <c:v>75.080001999999993</c:v>
                </c:pt>
                <c:pt idx="12">
                  <c:v>76.260002</c:v>
                </c:pt>
                <c:pt idx="13">
                  <c:v>76.180000000000007</c:v>
                </c:pt>
                <c:pt idx="14">
                  <c:v>76.269997000000004</c:v>
                </c:pt>
                <c:pt idx="15">
                  <c:v>75.839995999999999</c:v>
                </c:pt>
                <c:pt idx="16">
                  <c:v>76.239998</c:v>
                </c:pt>
                <c:pt idx="17">
                  <c:v>75.730002999999996</c:v>
                </c:pt>
                <c:pt idx="18">
                  <c:v>76.040001000000004</c:v>
                </c:pt>
                <c:pt idx="19">
                  <c:v>76.559997999999993</c:v>
                </c:pt>
                <c:pt idx="20">
                  <c:v>76.709998999999996</c:v>
                </c:pt>
                <c:pt idx="21">
                  <c:v>76.949996999999996</c:v>
                </c:pt>
                <c:pt idx="22">
                  <c:v>77.730002999999996</c:v>
                </c:pt>
                <c:pt idx="23">
                  <c:v>78.180000000000007</c:v>
                </c:pt>
                <c:pt idx="24">
                  <c:v>77.370002999999997</c:v>
                </c:pt>
                <c:pt idx="25">
                  <c:v>77.730002999999996</c:v>
                </c:pt>
                <c:pt idx="26">
                  <c:v>76.680000000000007</c:v>
                </c:pt>
                <c:pt idx="27">
                  <c:v>76.900002000000001</c:v>
                </c:pt>
                <c:pt idx="28">
                  <c:v>77.569999999999993</c:v>
                </c:pt>
                <c:pt idx="29">
                  <c:v>77.220000999999996</c:v>
                </c:pt>
                <c:pt idx="30">
                  <c:v>76.550003000000004</c:v>
                </c:pt>
                <c:pt idx="31">
                  <c:v>77.629997000000003</c:v>
                </c:pt>
                <c:pt idx="32">
                  <c:v>77.269997000000004</c:v>
                </c:pt>
                <c:pt idx="33">
                  <c:v>77.230002999999996</c:v>
                </c:pt>
                <c:pt idx="34">
                  <c:v>77.639999000000003</c:v>
                </c:pt>
                <c:pt idx="35">
                  <c:v>77.629997000000003</c:v>
                </c:pt>
                <c:pt idx="36">
                  <c:v>77.690002000000007</c:v>
                </c:pt>
                <c:pt idx="37">
                  <c:v>77.5</c:v>
                </c:pt>
                <c:pt idx="38">
                  <c:v>78</c:v>
                </c:pt>
                <c:pt idx="39">
                  <c:v>78.430000000000007</c:v>
                </c:pt>
                <c:pt idx="40">
                  <c:v>78.519997000000004</c:v>
                </c:pt>
                <c:pt idx="41">
                  <c:v>78.050003000000004</c:v>
                </c:pt>
                <c:pt idx="42">
                  <c:v>78.069999999999993</c:v>
                </c:pt>
                <c:pt idx="43">
                  <c:v>78.449996999999996</c:v>
                </c:pt>
                <c:pt idx="44">
                  <c:v>78.480002999999996</c:v>
                </c:pt>
                <c:pt idx="45">
                  <c:v>77.900002000000001</c:v>
                </c:pt>
                <c:pt idx="46">
                  <c:v>78.480002999999996</c:v>
                </c:pt>
                <c:pt idx="47">
                  <c:v>78.440002000000007</c:v>
                </c:pt>
                <c:pt idx="48">
                  <c:v>78.699996999999996</c:v>
                </c:pt>
                <c:pt idx="49">
                  <c:v>78.930000000000007</c:v>
                </c:pt>
                <c:pt idx="50">
                  <c:v>78.629997000000003</c:v>
                </c:pt>
                <c:pt idx="51">
                  <c:v>78.980002999999996</c:v>
                </c:pt>
                <c:pt idx="52">
                  <c:v>78.819999999999993</c:v>
                </c:pt>
                <c:pt idx="53">
                  <c:v>78.410004000000001</c:v>
                </c:pt>
                <c:pt idx="54">
                  <c:v>79.360000999999997</c:v>
                </c:pt>
                <c:pt idx="55">
                  <c:v>78.900002000000001</c:v>
                </c:pt>
                <c:pt idx="56">
                  <c:v>79.430000000000007</c:v>
                </c:pt>
                <c:pt idx="57">
                  <c:v>80.610000999999997</c:v>
                </c:pt>
                <c:pt idx="58">
                  <c:v>80.260002</c:v>
                </c:pt>
                <c:pt idx="59">
                  <c:v>80.610000999999997</c:v>
                </c:pt>
                <c:pt idx="60">
                  <c:v>80.379997000000003</c:v>
                </c:pt>
                <c:pt idx="61">
                  <c:v>79.989998</c:v>
                </c:pt>
                <c:pt idx="62">
                  <c:v>79.739998</c:v>
                </c:pt>
                <c:pt idx="63">
                  <c:v>79.930000000000007</c:v>
                </c:pt>
                <c:pt idx="64">
                  <c:v>79.550003000000004</c:v>
                </c:pt>
                <c:pt idx="65">
                  <c:v>79.760002</c:v>
                </c:pt>
                <c:pt idx="66">
                  <c:v>79.730002999999996</c:v>
                </c:pt>
                <c:pt idx="67">
                  <c:v>79.290001000000004</c:v>
                </c:pt>
                <c:pt idx="68">
                  <c:v>79.650002000000001</c:v>
                </c:pt>
                <c:pt idx="69">
                  <c:v>77.430000000000007</c:v>
                </c:pt>
                <c:pt idx="70">
                  <c:v>78.220000999999996</c:v>
                </c:pt>
                <c:pt idx="71">
                  <c:v>79.080001999999993</c:v>
                </c:pt>
                <c:pt idx="72">
                  <c:v>78.760002</c:v>
                </c:pt>
                <c:pt idx="73">
                  <c:v>78.599997999999999</c:v>
                </c:pt>
                <c:pt idx="74">
                  <c:v>79.040001000000004</c:v>
                </c:pt>
                <c:pt idx="75">
                  <c:v>78.930000000000007</c:v>
                </c:pt>
                <c:pt idx="76">
                  <c:v>79.559997999999993</c:v>
                </c:pt>
                <c:pt idx="77">
                  <c:v>79.319999999999993</c:v>
                </c:pt>
                <c:pt idx="78">
                  <c:v>79.470000999999996</c:v>
                </c:pt>
                <c:pt idx="79">
                  <c:v>80.550003000000004</c:v>
                </c:pt>
                <c:pt idx="80">
                  <c:v>82.110000999999997</c:v>
                </c:pt>
                <c:pt idx="81">
                  <c:v>82.82</c:v>
                </c:pt>
                <c:pt idx="82">
                  <c:v>82.019997000000004</c:v>
                </c:pt>
                <c:pt idx="83">
                  <c:v>82.190002000000007</c:v>
                </c:pt>
                <c:pt idx="84">
                  <c:v>83.260002</c:v>
                </c:pt>
                <c:pt idx="85">
                  <c:v>83.25</c:v>
                </c:pt>
                <c:pt idx="86">
                  <c:v>82.660004000000001</c:v>
                </c:pt>
                <c:pt idx="87">
                  <c:v>82.540001000000004</c:v>
                </c:pt>
                <c:pt idx="88">
                  <c:v>82.669998000000007</c:v>
                </c:pt>
                <c:pt idx="89">
                  <c:v>84.080001999999993</c:v>
                </c:pt>
                <c:pt idx="90">
                  <c:v>83.699996999999996</c:v>
                </c:pt>
                <c:pt idx="91">
                  <c:v>83.760002</c:v>
                </c:pt>
                <c:pt idx="92">
                  <c:v>84.029999000000004</c:v>
                </c:pt>
                <c:pt idx="93">
                  <c:v>85.089995999999999</c:v>
                </c:pt>
                <c:pt idx="94">
                  <c:v>84.830001999999993</c:v>
                </c:pt>
                <c:pt idx="95">
                  <c:v>84.82</c:v>
                </c:pt>
                <c:pt idx="96">
                  <c:v>85.160004000000001</c:v>
                </c:pt>
                <c:pt idx="97">
                  <c:v>84.970000999999996</c:v>
                </c:pt>
                <c:pt idx="98">
                  <c:v>84.809997999999993</c:v>
                </c:pt>
                <c:pt idx="99">
                  <c:v>84.559997999999993</c:v>
                </c:pt>
                <c:pt idx="100">
                  <c:v>84.050003000000004</c:v>
                </c:pt>
                <c:pt idx="101">
                  <c:v>83.669998000000007</c:v>
                </c:pt>
                <c:pt idx="102">
                  <c:v>84</c:v>
                </c:pt>
                <c:pt idx="103">
                  <c:v>84.589995999999999</c:v>
                </c:pt>
                <c:pt idx="104">
                  <c:v>85.470000999999996</c:v>
                </c:pt>
                <c:pt idx="105">
                  <c:v>84.529999000000004</c:v>
                </c:pt>
                <c:pt idx="106">
                  <c:v>86.190002000000007</c:v>
                </c:pt>
                <c:pt idx="107">
                  <c:v>86.370002999999997</c:v>
                </c:pt>
                <c:pt idx="108">
                  <c:v>86.790001000000004</c:v>
                </c:pt>
                <c:pt idx="109">
                  <c:v>86.57</c:v>
                </c:pt>
                <c:pt idx="110">
                  <c:v>86.160004000000001</c:v>
                </c:pt>
                <c:pt idx="111">
                  <c:v>86.82</c:v>
                </c:pt>
                <c:pt idx="112">
                  <c:v>86.199996999999996</c:v>
                </c:pt>
                <c:pt idx="113">
                  <c:v>86.989998</c:v>
                </c:pt>
                <c:pt idx="114">
                  <c:v>86.790001000000004</c:v>
                </c:pt>
                <c:pt idx="115">
                  <c:v>86.309997999999993</c:v>
                </c:pt>
                <c:pt idx="116">
                  <c:v>86.68</c:v>
                </c:pt>
                <c:pt idx="117">
                  <c:v>87.300003000000004</c:v>
                </c:pt>
                <c:pt idx="118">
                  <c:v>86.709998999999996</c:v>
                </c:pt>
                <c:pt idx="119">
                  <c:v>87.260002</c:v>
                </c:pt>
                <c:pt idx="120">
                  <c:v>86.849997999999999</c:v>
                </c:pt>
                <c:pt idx="121">
                  <c:v>85.489998</c:v>
                </c:pt>
                <c:pt idx="122">
                  <c:v>86.580001999999993</c:v>
                </c:pt>
                <c:pt idx="123">
                  <c:v>86.639999000000003</c:v>
                </c:pt>
                <c:pt idx="124">
                  <c:v>86.620002999999997</c:v>
                </c:pt>
              </c:numCache>
            </c:numRef>
          </c:val>
          <c:smooth val="0"/>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axId val="395066368"/>
        <c:axId val="395064832"/>
      </c:stockChart>
      <c:dateAx>
        <c:axId val="3950186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046272"/>
        <c:crosses val="autoZero"/>
        <c:auto val="1"/>
        <c:lblOffset val="100"/>
        <c:baseTimeUnit val="days"/>
      </c:dateAx>
      <c:valAx>
        <c:axId val="395046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018624"/>
        <c:crosses val="autoZero"/>
        <c:crossBetween val="between"/>
      </c:valAx>
      <c:valAx>
        <c:axId val="395064832"/>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066368"/>
        <c:crosses val="max"/>
        <c:crossBetween val="between"/>
      </c:valAx>
      <c:dateAx>
        <c:axId val="395066368"/>
        <c:scaling>
          <c:orientation val="minMax"/>
        </c:scaling>
        <c:delete val="1"/>
        <c:axPos val="b"/>
        <c:numFmt formatCode="m/d/yyyy" sourceLinked="1"/>
        <c:majorTickMark val="out"/>
        <c:minorTickMark val="none"/>
        <c:tickLblPos val="nextTo"/>
        <c:crossAx val="395064832"/>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WM 5 YEAR MONTHLY</a:t>
            </a:r>
          </a:p>
        </c:rich>
      </c:tx>
      <c:overlay val="0"/>
      <c:spPr>
        <a:noFill/>
        <a:ln>
          <a:noFill/>
        </a:ln>
        <a:effectLst/>
      </c:spPr>
    </c:title>
    <c:autoTitleDeleted val="0"/>
    <c:plotArea>
      <c:layout/>
      <c:lineChart>
        <c:grouping val="standard"/>
        <c:varyColors val="0"/>
        <c:ser>
          <c:idx val="0"/>
          <c:order val="0"/>
          <c:tx>
            <c:strRef>
              <c:f>'[STOCK_CHARTS_BADM1030.xlsm]WM_5YEAR-MONTHLY'!$B$1</c:f>
              <c:strCache>
                <c:ptCount val="1"/>
                <c:pt idx="0">
                  <c:v>High</c:v>
                </c:pt>
              </c:strCache>
            </c:strRef>
          </c:tx>
          <c:spPr>
            <a:ln w="28575" cap="rnd">
              <a:solidFill>
                <a:schemeClr val="accent1"/>
              </a:solidFill>
              <a:round/>
            </a:ln>
            <a:effectLst/>
          </c:spPr>
          <c:marker>
            <c:symbol val="none"/>
          </c:marker>
          <c:cat>
            <c:numRef>
              <c:f>'[STOCK_CHARTS_BADM1030.xlsm]WM_5YEAR-MONTHLY'!$A$2:$A$62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'[STOCK_CHARTS_BADM1030.xlsm]WM_5YEAR-MONTHLY'!$B$2:$B$62</c:f>
              <c:numCache>
                <c:formatCode>General</c:formatCode>
                <c:ptCount val="61"/>
                <c:pt idx="0">
                  <c:v>45.689999</c:v>
                </c:pt>
                <c:pt idx="1">
                  <c:v>47.349997999999999</c:v>
                </c:pt>
                <c:pt idx="2">
                  <c:v>47.689999</c:v>
                </c:pt>
                <c:pt idx="3">
                  <c:v>49.18</c:v>
                </c:pt>
                <c:pt idx="4">
                  <c:v>49.709999000000003</c:v>
                </c:pt>
                <c:pt idx="5">
                  <c:v>51.950001</c:v>
                </c:pt>
                <c:pt idx="6">
                  <c:v>53.490001999999997</c:v>
                </c:pt>
                <c:pt idx="7">
                  <c:v>54.84</c:v>
                </c:pt>
                <c:pt idx="8">
                  <c:v>55.310001</c:v>
                </c:pt>
                <c:pt idx="9">
                  <c:v>55.93</c:v>
                </c:pt>
                <c:pt idx="10">
                  <c:v>50.450001</c:v>
                </c:pt>
                <c:pt idx="11">
                  <c:v>49.91</c:v>
                </c:pt>
                <c:pt idx="12">
                  <c:v>51.459999000000003</c:v>
                </c:pt>
                <c:pt idx="13">
                  <c:v>53.060001</c:v>
                </c:pt>
                <c:pt idx="14">
                  <c:v>51.18</c:v>
                </c:pt>
                <c:pt idx="15">
                  <c:v>54.849997999999999</c:v>
                </c:pt>
                <c:pt idx="16">
                  <c:v>55.279998999999997</c:v>
                </c:pt>
                <c:pt idx="17">
                  <c:v>54.57</c:v>
                </c:pt>
                <c:pt idx="18">
                  <c:v>53.349997999999999</c:v>
                </c:pt>
                <c:pt idx="19">
                  <c:v>56.799999</c:v>
                </c:pt>
                <c:pt idx="20">
                  <c:v>59.990001999999997</c:v>
                </c:pt>
                <c:pt idx="21">
                  <c:v>59.27</c:v>
                </c:pt>
                <c:pt idx="22">
                  <c:v>62.049999</c:v>
                </c:pt>
                <c:pt idx="23">
                  <c:v>66.269997000000004</c:v>
                </c:pt>
                <c:pt idx="24">
                  <c:v>70.5</c:v>
                </c:pt>
                <c:pt idx="25">
                  <c:v>67.239998</c:v>
                </c:pt>
                <c:pt idx="26">
                  <c:v>64.839995999999999</c:v>
                </c:pt>
                <c:pt idx="27">
                  <c:v>65.870002999999997</c:v>
                </c:pt>
                <c:pt idx="28">
                  <c:v>70.669998000000007</c:v>
                </c:pt>
                <c:pt idx="29">
                  <c:v>71.779999000000004</c:v>
                </c:pt>
                <c:pt idx="30">
                  <c:v>71.279999000000004</c:v>
                </c:pt>
                <c:pt idx="31">
                  <c:v>73.529999000000004</c:v>
                </c:pt>
                <c:pt idx="32">
                  <c:v>73.900002000000001</c:v>
                </c:pt>
                <c:pt idx="33">
                  <c:v>74.580001999999993</c:v>
                </c:pt>
                <c:pt idx="34">
                  <c:v>73.620002999999997</c:v>
                </c:pt>
                <c:pt idx="35">
                  <c:v>74.519997000000004</c:v>
                </c:pt>
                <c:pt idx="36">
                  <c:v>76</c:v>
                </c:pt>
                <c:pt idx="37">
                  <c:v>77.180000000000007</c:v>
                </c:pt>
                <c:pt idx="38">
                  <c:v>78.819999999999993</c:v>
                </c:pt>
                <c:pt idx="39">
                  <c:v>82.870002999999997</c:v>
                </c:pt>
                <c:pt idx="40">
                  <c:v>82.970000999999996</c:v>
                </c:pt>
                <c:pt idx="41">
                  <c:v>86.889999000000003</c:v>
                </c:pt>
                <c:pt idx="42">
                  <c:v>89.730002999999996</c:v>
                </c:pt>
                <c:pt idx="43">
                  <c:v>88.639999000000003</c:v>
                </c:pt>
                <c:pt idx="44">
                  <c:v>87.379997000000003</c:v>
                </c:pt>
                <c:pt idx="45">
                  <c:v>86.330001999999993</c:v>
                </c:pt>
                <c:pt idx="46">
                  <c:v>84.400002000000001</c:v>
                </c:pt>
                <c:pt idx="47">
                  <c:v>84.43</c:v>
                </c:pt>
                <c:pt idx="48">
                  <c:v>90.099997999999999</c:v>
                </c:pt>
                <c:pt idx="49">
                  <c:v>91.639999000000003</c:v>
                </c:pt>
                <c:pt idx="50">
                  <c:v>92.849997999999999</c:v>
                </c:pt>
                <c:pt idx="51">
                  <c:v>91.660004000000001</c:v>
                </c:pt>
                <c:pt idx="52">
                  <c:v>94.080001999999993</c:v>
                </c:pt>
                <c:pt idx="53">
                  <c:v>95.489998</c:v>
                </c:pt>
                <c:pt idx="54">
                  <c:v>96.150002000000001</c:v>
                </c:pt>
                <c:pt idx="55">
                  <c:v>101.349998</c:v>
                </c:pt>
                <c:pt idx="56">
                  <c:v>104</c:v>
                </c:pt>
                <c:pt idx="57">
                  <c:v>107.449997</c:v>
                </c:pt>
                <c:pt idx="58">
                  <c:v>109.989998</c:v>
                </c:pt>
                <c:pt idx="59">
                  <c:v>117.339996</c:v>
                </c:pt>
                <c:pt idx="60">
                  <c:v>118.889999</c:v>
                </c:pt>
              </c:numCache>
            </c:numRef>
          </c:val>
          <c:smooth val="0"/>
        </c:ser>
        <c:ser>
          <c:idx val="1"/>
          <c:order val="1"/>
          <c:tx>
            <c:strRef>
              <c:f>'[STOCK_CHARTS_BADM1030.xlsm]WM_5YEAR-MONTHLY'!$C$1</c:f>
              <c:strCache>
                <c:ptCount val="1"/>
                <c:pt idx="0">
                  <c:v>Low</c:v>
                </c:pt>
              </c:strCache>
            </c:strRef>
          </c:tx>
          <c:spPr>
            <a:ln w="28575" cap="rnd">
              <a:solidFill>
                <a:schemeClr val="accent2"/>
              </a:solidFill>
              <a:round/>
            </a:ln>
            <a:effectLst/>
          </c:spPr>
          <c:marker>
            <c:symbol val="none"/>
          </c:marker>
          <c:cat>
            <c:numRef>
              <c:f>'[STOCK_CHARTS_BADM1030.xlsm]WM_5YEAR-MONTHLY'!$A$2:$A$62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'[STOCK_CHARTS_BADM1030.xlsm]WM_5YEAR-MONTHLY'!$C$2:$C$62</c:f>
              <c:numCache>
                <c:formatCode>General</c:formatCode>
                <c:ptCount val="61"/>
                <c:pt idx="0">
                  <c:v>43.490001999999997</c:v>
                </c:pt>
                <c:pt idx="1">
                  <c:v>43.970001000000003</c:v>
                </c:pt>
                <c:pt idx="2">
                  <c:v>46.509998000000003</c:v>
                </c:pt>
                <c:pt idx="3">
                  <c:v>45.5</c:v>
                </c:pt>
                <c:pt idx="4">
                  <c:v>48.200001</c:v>
                </c:pt>
                <c:pt idx="5">
                  <c:v>48.290000999999997</c:v>
                </c:pt>
                <c:pt idx="6">
                  <c:v>50.860000999999997</c:v>
                </c:pt>
                <c:pt idx="7">
                  <c:v>50.669998</c:v>
                </c:pt>
                <c:pt idx="8">
                  <c:v>52.669998</c:v>
                </c:pt>
                <c:pt idx="9">
                  <c:v>49.43</c:v>
                </c:pt>
                <c:pt idx="10">
                  <c:v>48.09</c:v>
                </c:pt>
                <c:pt idx="11">
                  <c:v>46.310001</c:v>
                </c:pt>
                <c:pt idx="12">
                  <c:v>45.860000999999997</c:v>
                </c:pt>
                <c:pt idx="13">
                  <c:v>48.790000999999997</c:v>
                </c:pt>
                <c:pt idx="14">
                  <c:v>48.900002000000001</c:v>
                </c:pt>
                <c:pt idx="15">
                  <c:v>49.490001999999997</c:v>
                </c:pt>
                <c:pt idx="16">
                  <c:v>52.02</c:v>
                </c:pt>
                <c:pt idx="17">
                  <c:v>51.080002</c:v>
                </c:pt>
                <c:pt idx="18">
                  <c:v>50.360000999999997</c:v>
                </c:pt>
                <c:pt idx="19">
                  <c:v>51.68</c:v>
                </c:pt>
                <c:pt idx="20">
                  <c:v>56.060001</c:v>
                </c:pt>
                <c:pt idx="21">
                  <c:v>56.049999</c:v>
                </c:pt>
                <c:pt idx="22">
                  <c:v>58.93</c:v>
                </c:pt>
                <c:pt idx="23">
                  <c:v>60.59</c:v>
                </c:pt>
                <c:pt idx="24">
                  <c:v>65.650002000000001</c:v>
                </c:pt>
                <c:pt idx="25">
                  <c:v>63.610000999999997</c:v>
                </c:pt>
                <c:pt idx="26">
                  <c:v>62.41</c:v>
                </c:pt>
                <c:pt idx="27">
                  <c:v>61.080002</c:v>
                </c:pt>
                <c:pt idx="28">
                  <c:v>63.189999</c:v>
                </c:pt>
                <c:pt idx="29">
                  <c:v>68.839995999999999</c:v>
                </c:pt>
                <c:pt idx="30">
                  <c:v>69</c:v>
                </c:pt>
                <c:pt idx="31">
                  <c:v>69</c:v>
                </c:pt>
                <c:pt idx="32">
                  <c:v>71.529999000000004</c:v>
                </c:pt>
                <c:pt idx="33">
                  <c:v>71.910004000000001</c:v>
                </c:pt>
                <c:pt idx="34">
                  <c:v>70.080001999999993</c:v>
                </c:pt>
                <c:pt idx="35">
                  <c:v>72.239998</c:v>
                </c:pt>
                <c:pt idx="36">
                  <c:v>73.180000000000007</c:v>
                </c:pt>
                <c:pt idx="37">
                  <c:v>74.610000999999997</c:v>
                </c:pt>
                <c:pt idx="38">
                  <c:v>75.720000999999996</c:v>
                </c:pt>
                <c:pt idx="39">
                  <c:v>75.860000999999997</c:v>
                </c:pt>
                <c:pt idx="40">
                  <c:v>78.330001999999993</c:v>
                </c:pt>
                <c:pt idx="41">
                  <c:v>80.819999999999993</c:v>
                </c:pt>
                <c:pt idx="42">
                  <c:v>85.550003000000004</c:v>
                </c:pt>
                <c:pt idx="43">
                  <c:v>78.389999000000003</c:v>
                </c:pt>
                <c:pt idx="44">
                  <c:v>82.720000999999996</c:v>
                </c:pt>
                <c:pt idx="45">
                  <c:v>80.910004000000001</c:v>
                </c:pt>
                <c:pt idx="46">
                  <c:v>80.669998000000007</c:v>
                </c:pt>
                <c:pt idx="47">
                  <c:v>79.959998999999996</c:v>
                </c:pt>
                <c:pt idx="48">
                  <c:v>80.879997000000003</c:v>
                </c:pt>
                <c:pt idx="49">
                  <c:v>88.540001000000004</c:v>
                </c:pt>
                <c:pt idx="50">
                  <c:v>89.650002000000001</c:v>
                </c:pt>
                <c:pt idx="51">
                  <c:v>83.220000999999996</c:v>
                </c:pt>
                <c:pt idx="52">
                  <c:v>86.370002999999997</c:v>
                </c:pt>
                <c:pt idx="53">
                  <c:v>83.489998</c:v>
                </c:pt>
                <c:pt idx="54">
                  <c:v>87.32</c:v>
                </c:pt>
                <c:pt idx="55">
                  <c:v>94.879997000000003</c:v>
                </c:pt>
                <c:pt idx="56">
                  <c:v>98.190002000000007</c:v>
                </c:pt>
                <c:pt idx="57">
                  <c:v>97.550003000000004</c:v>
                </c:pt>
                <c:pt idx="58">
                  <c:v>103.839996</c:v>
                </c:pt>
                <c:pt idx="59">
                  <c:v>110.25</c:v>
                </c:pt>
                <c:pt idx="60">
                  <c:v>114.44000200000001</c:v>
                </c:pt>
              </c:numCache>
            </c:numRef>
          </c:val>
          <c:smooth val="0"/>
        </c:ser>
        <c:dLbls>
          <c:showLegendKey val="0"/>
          <c:showVal val="0"/>
          <c:showCatName val="0"/>
          <c:showSerName val="0"/>
          <c:showPercent val="0"/>
          <c:showBubbleSize val="0"/>
        </c:dLbls>
        <c:marker val="1"/>
        <c:smooth val="0"/>
        <c:axId val="395100160"/>
        <c:axId val="395102080"/>
      </c:lineChart>
      <c:dateAx>
        <c:axId val="3951001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layout>
            <c:manualLayout>
              <c:xMode val="edge"/>
              <c:yMode val="edge"/>
              <c:x val="0.49607888546803602"/>
              <c:y val="0.92136272965879296"/>
            </c:manualLayout>
          </c:layout>
          <c:overlay val="0"/>
          <c:spPr>
            <a:noFill/>
            <a:ln>
              <a:noFill/>
            </a:ln>
            <a:effectLst/>
          </c:sp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102080"/>
        <c:crosses val="autoZero"/>
        <c:auto val="1"/>
        <c:lblOffset val="100"/>
        <c:baseTimeUnit val="months"/>
      </c:dateAx>
      <c:valAx>
        <c:axId val="395102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10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WM 6 MONTH DAILY</a:t>
            </a:r>
          </a:p>
        </c:rich>
      </c:tx>
      <c:overlay val="0"/>
      <c:spPr>
        <a:noFill/>
        <a:ln>
          <a:noFill/>
        </a:ln>
        <a:effectLst/>
      </c:spPr>
    </c:title>
    <c:autoTitleDeleted val="0"/>
    <c:plotArea>
      <c:layout/>
      <c:barChart>
        <c:barDir val="col"/>
        <c:grouping val="clustered"/>
        <c:varyColors val="0"/>
        <c:ser>
          <c:idx val="0"/>
          <c:order val="0"/>
          <c:tx>
            <c:strRef>
              <c:f>'[STOCK_CHARTS_BADM1030.xlsm]WM_6MONTH-DAILY'!$B$1</c:f>
              <c:strCache>
                <c:ptCount val="1"/>
                <c:pt idx="0">
                  <c:v>Volume</c:v>
                </c:pt>
              </c:strCache>
            </c:strRef>
          </c:tx>
          <c:spPr>
            <a:solidFill>
              <a:schemeClr val="accent1"/>
            </a:solidFill>
            <a:ln w="31750">
              <a:noFill/>
            </a:ln>
            <a:effectLst/>
          </c:spPr>
          <c:invertIfNegative val="0"/>
          <c:cat>
            <c:numRef>
              <c:f>'[STOCK_CHARTS_BADM1030.xlsm]WM_6MONTH-DAILY'!$A$2:$A$126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'[STOCK_CHARTS_BADM1030.xlsm]WM_6MONTH-DAILY'!$B$2:$B$126</c:f>
              <c:numCache>
                <c:formatCode>General</c:formatCode>
                <c:ptCount val="125"/>
                <c:pt idx="0">
                  <c:v>1919100</c:v>
                </c:pt>
                <c:pt idx="1">
                  <c:v>3343700</c:v>
                </c:pt>
                <c:pt idx="2">
                  <c:v>2433700</c:v>
                </c:pt>
                <c:pt idx="3">
                  <c:v>2859400</c:v>
                </c:pt>
                <c:pt idx="4">
                  <c:v>2164000</c:v>
                </c:pt>
                <c:pt idx="5">
                  <c:v>1938900</c:v>
                </c:pt>
                <c:pt idx="6">
                  <c:v>1771500</c:v>
                </c:pt>
                <c:pt idx="7">
                  <c:v>1785100</c:v>
                </c:pt>
                <c:pt idx="8">
                  <c:v>1771200</c:v>
                </c:pt>
                <c:pt idx="9">
                  <c:v>1087400</c:v>
                </c:pt>
                <c:pt idx="10">
                  <c:v>1950600</c:v>
                </c:pt>
                <c:pt idx="11">
                  <c:v>1741400</c:v>
                </c:pt>
                <c:pt idx="12">
                  <c:v>2284200</c:v>
                </c:pt>
                <c:pt idx="13">
                  <c:v>2202500</c:v>
                </c:pt>
                <c:pt idx="14">
                  <c:v>1297500</c:v>
                </c:pt>
                <c:pt idx="15">
                  <c:v>1649200</c:v>
                </c:pt>
                <c:pt idx="16">
                  <c:v>1878900</c:v>
                </c:pt>
                <c:pt idx="17">
                  <c:v>1332300</c:v>
                </c:pt>
                <c:pt idx="18">
                  <c:v>1527300</c:v>
                </c:pt>
                <c:pt idx="19">
                  <c:v>2596600</c:v>
                </c:pt>
                <c:pt idx="20">
                  <c:v>3409700</c:v>
                </c:pt>
                <c:pt idx="21">
                  <c:v>1937300</c:v>
                </c:pt>
                <c:pt idx="22">
                  <c:v>1508500</c:v>
                </c:pt>
                <c:pt idx="23">
                  <c:v>2099400</c:v>
                </c:pt>
                <c:pt idx="24">
                  <c:v>1624700</c:v>
                </c:pt>
                <c:pt idx="25">
                  <c:v>1433600</c:v>
                </c:pt>
                <c:pt idx="26">
                  <c:v>1862600</c:v>
                </c:pt>
                <c:pt idx="27">
                  <c:v>1722200</c:v>
                </c:pt>
                <c:pt idx="28">
                  <c:v>1515400</c:v>
                </c:pt>
                <c:pt idx="29">
                  <c:v>1968000</c:v>
                </c:pt>
                <c:pt idx="30">
                  <c:v>2285000</c:v>
                </c:pt>
                <c:pt idx="31">
                  <c:v>2412100</c:v>
                </c:pt>
                <c:pt idx="32">
                  <c:v>2185100</c:v>
                </c:pt>
                <c:pt idx="33">
                  <c:v>1793800</c:v>
                </c:pt>
                <c:pt idx="34">
                  <c:v>1635000</c:v>
                </c:pt>
                <c:pt idx="35">
                  <c:v>1212100</c:v>
                </c:pt>
                <c:pt idx="36">
                  <c:v>1295300</c:v>
                </c:pt>
                <c:pt idx="37">
                  <c:v>1316900</c:v>
                </c:pt>
                <c:pt idx="38">
                  <c:v>1284400</c:v>
                </c:pt>
                <c:pt idx="39">
                  <c:v>2129800</c:v>
                </c:pt>
                <c:pt idx="40">
                  <c:v>1610300</c:v>
                </c:pt>
                <c:pt idx="41">
                  <c:v>1641600</c:v>
                </c:pt>
                <c:pt idx="42">
                  <c:v>1561700</c:v>
                </c:pt>
                <c:pt idx="43">
                  <c:v>1539800</c:v>
                </c:pt>
                <c:pt idx="44">
                  <c:v>1946800</c:v>
                </c:pt>
                <c:pt idx="45">
                  <c:v>1306000</c:v>
                </c:pt>
                <c:pt idx="46">
                  <c:v>1784500</c:v>
                </c:pt>
                <c:pt idx="47">
                  <c:v>1693400</c:v>
                </c:pt>
                <c:pt idx="48">
                  <c:v>1255200</c:v>
                </c:pt>
                <c:pt idx="49">
                  <c:v>1196900</c:v>
                </c:pt>
                <c:pt idx="50">
                  <c:v>5058700</c:v>
                </c:pt>
                <c:pt idx="51">
                  <c:v>1623300</c:v>
                </c:pt>
                <c:pt idx="52">
                  <c:v>1176600</c:v>
                </c:pt>
                <c:pt idx="53">
                  <c:v>1522800</c:v>
                </c:pt>
                <c:pt idx="54">
                  <c:v>964700</c:v>
                </c:pt>
                <c:pt idx="55">
                  <c:v>1531600</c:v>
                </c:pt>
                <c:pt idx="56">
                  <c:v>1459300</c:v>
                </c:pt>
                <c:pt idx="57">
                  <c:v>1490400</c:v>
                </c:pt>
                <c:pt idx="58">
                  <c:v>1371200</c:v>
                </c:pt>
                <c:pt idx="59">
                  <c:v>968600</c:v>
                </c:pt>
                <c:pt idx="60">
                  <c:v>1977000</c:v>
                </c:pt>
                <c:pt idx="61">
                  <c:v>1419100</c:v>
                </c:pt>
                <c:pt idx="62">
                  <c:v>1150700</c:v>
                </c:pt>
                <c:pt idx="63">
                  <c:v>1986600</c:v>
                </c:pt>
                <c:pt idx="64">
                  <c:v>1670000</c:v>
                </c:pt>
                <c:pt idx="65">
                  <c:v>2490100</c:v>
                </c:pt>
                <c:pt idx="66">
                  <c:v>2834800</c:v>
                </c:pt>
                <c:pt idx="67">
                  <c:v>1345800</c:v>
                </c:pt>
                <c:pt idx="68">
                  <c:v>1882000</c:v>
                </c:pt>
                <c:pt idx="69">
                  <c:v>3433500</c:v>
                </c:pt>
                <c:pt idx="70">
                  <c:v>1232800</c:v>
                </c:pt>
                <c:pt idx="71">
                  <c:v>2907600</c:v>
                </c:pt>
                <c:pt idx="72">
                  <c:v>1373400</c:v>
                </c:pt>
                <c:pt idx="73">
                  <c:v>1717700</c:v>
                </c:pt>
                <c:pt idx="74">
                  <c:v>2195400</c:v>
                </c:pt>
                <c:pt idx="75">
                  <c:v>1292300</c:v>
                </c:pt>
                <c:pt idx="76">
                  <c:v>1560500</c:v>
                </c:pt>
                <c:pt idx="77">
                  <c:v>1703700</c:v>
                </c:pt>
                <c:pt idx="78">
                  <c:v>1600400</c:v>
                </c:pt>
                <c:pt idx="79">
                  <c:v>1067400</c:v>
                </c:pt>
                <c:pt idx="80">
                  <c:v>1294700</c:v>
                </c:pt>
                <c:pt idx="81">
                  <c:v>1410000</c:v>
                </c:pt>
                <c:pt idx="82">
                  <c:v>964000</c:v>
                </c:pt>
                <c:pt idx="83">
                  <c:v>1323600</c:v>
                </c:pt>
                <c:pt idx="84">
                  <c:v>1677400</c:v>
                </c:pt>
                <c:pt idx="85">
                  <c:v>1377700</c:v>
                </c:pt>
                <c:pt idx="86">
                  <c:v>1330000</c:v>
                </c:pt>
                <c:pt idx="87">
                  <c:v>1079800</c:v>
                </c:pt>
                <c:pt idx="88">
                  <c:v>1011100</c:v>
                </c:pt>
                <c:pt idx="89">
                  <c:v>1565500</c:v>
                </c:pt>
                <c:pt idx="90">
                  <c:v>1543400</c:v>
                </c:pt>
                <c:pt idx="91">
                  <c:v>1586400</c:v>
                </c:pt>
                <c:pt idx="92">
                  <c:v>1277600</c:v>
                </c:pt>
                <c:pt idx="93">
                  <c:v>1210000</c:v>
                </c:pt>
                <c:pt idx="94">
                  <c:v>1362400</c:v>
                </c:pt>
                <c:pt idx="95">
                  <c:v>1372600</c:v>
                </c:pt>
                <c:pt idx="96">
                  <c:v>1338100</c:v>
                </c:pt>
                <c:pt idx="97">
                  <c:v>1447500</c:v>
                </c:pt>
                <c:pt idx="98">
                  <c:v>1412100</c:v>
                </c:pt>
                <c:pt idx="99">
                  <c:v>1200100</c:v>
                </c:pt>
                <c:pt idx="100">
                  <c:v>3224300</c:v>
                </c:pt>
                <c:pt idx="101">
                  <c:v>2009600</c:v>
                </c:pt>
                <c:pt idx="102">
                  <c:v>2161900</c:v>
                </c:pt>
                <c:pt idx="103">
                  <c:v>2413100</c:v>
                </c:pt>
                <c:pt idx="104">
                  <c:v>2752100</c:v>
                </c:pt>
                <c:pt idx="105">
                  <c:v>2366200</c:v>
                </c:pt>
                <c:pt idx="106">
                  <c:v>2220000</c:v>
                </c:pt>
                <c:pt idx="107">
                  <c:v>1974200</c:v>
                </c:pt>
                <c:pt idx="108">
                  <c:v>1566400</c:v>
                </c:pt>
                <c:pt idx="109">
                  <c:v>1458700</c:v>
                </c:pt>
                <c:pt idx="110">
                  <c:v>1398100</c:v>
                </c:pt>
                <c:pt idx="111">
                  <c:v>1259800</c:v>
                </c:pt>
                <c:pt idx="112">
                  <c:v>1309500</c:v>
                </c:pt>
                <c:pt idx="113">
                  <c:v>1345600</c:v>
                </c:pt>
                <c:pt idx="114">
                  <c:v>978700</c:v>
                </c:pt>
                <c:pt idx="115">
                  <c:v>1286300</c:v>
                </c:pt>
                <c:pt idx="116">
                  <c:v>1413600</c:v>
                </c:pt>
                <c:pt idx="117">
                  <c:v>2456900</c:v>
                </c:pt>
                <c:pt idx="118">
                  <c:v>2675600</c:v>
                </c:pt>
                <c:pt idx="119">
                  <c:v>1520400</c:v>
                </c:pt>
                <c:pt idx="120">
                  <c:v>1447500</c:v>
                </c:pt>
                <c:pt idx="121">
                  <c:v>1949800</c:v>
                </c:pt>
                <c:pt idx="122">
                  <c:v>1055300</c:v>
                </c:pt>
                <c:pt idx="123">
                  <c:v>2462500</c:v>
                </c:pt>
                <c:pt idx="124">
                  <c:v>1939000</c:v>
                </c:pt>
              </c:numCache>
            </c:numRef>
          </c:val>
        </c:ser>
        <c:dLbls>
          <c:showLegendKey val="0"/>
          <c:showVal val="0"/>
          <c:showCatName val="0"/>
          <c:showSerName val="0"/>
          <c:showPercent val="0"/>
          <c:showBubbleSize val="0"/>
        </c:dLbls>
        <c:gapWidth val="150"/>
        <c:axId val="395311360"/>
        <c:axId val="395317632"/>
      </c:barChart>
      <c:stockChart>
        <c:ser>
          <c:idx val="1"/>
          <c:order val="1"/>
          <c:tx>
            <c:strRef>
              <c:f>'[STOCK_CHARTS_BADM1030.xlsm]WM_6MONTH-DAILY'!$C$1</c:f>
              <c:strCache>
                <c:ptCount val="1"/>
                <c:pt idx="0">
                  <c:v>High</c:v>
                </c:pt>
              </c:strCache>
            </c:strRef>
          </c:tx>
          <c:spPr>
            <a:ln w="31750" cap="rnd">
              <a:noFill/>
              <a:round/>
            </a:ln>
            <a:effectLst/>
          </c:spPr>
          <c:marker>
            <c:symbol val="none"/>
          </c:marker>
          <c:cat>
            <c:numRef>
              <c:f>'[STOCK_CHARTS_BADM1030.xlsm]WM_6MONTH-DAILY'!$A$2:$A$126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'[STOCK_CHARTS_BADM1030.xlsm]WM_6MONTH-DAILY'!$C$2:$C$126</c:f>
              <c:numCache>
                <c:formatCode>General</c:formatCode>
                <c:ptCount val="125"/>
                <c:pt idx="0">
                  <c:v>88.760002</c:v>
                </c:pt>
                <c:pt idx="1">
                  <c:v>88.839995999999999</c:v>
                </c:pt>
                <c:pt idx="2">
                  <c:v>90.860000999999997</c:v>
                </c:pt>
                <c:pt idx="3">
                  <c:v>91.760002</c:v>
                </c:pt>
                <c:pt idx="4">
                  <c:v>92.470000999999996</c:v>
                </c:pt>
                <c:pt idx="5">
                  <c:v>92.459998999999996</c:v>
                </c:pt>
                <c:pt idx="6">
                  <c:v>93.25</c:v>
                </c:pt>
                <c:pt idx="7">
                  <c:v>93.660004000000001</c:v>
                </c:pt>
                <c:pt idx="8">
                  <c:v>93.709998999999996</c:v>
                </c:pt>
                <c:pt idx="9">
                  <c:v>93.879997000000003</c:v>
                </c:pt>
                <c:pt idx="10">
                  <c:v>93.849997999999999</c:v>
                </c:pt>
                <c:pt idx="11">
                  <c:v>93.330001999999993</c:v>
                </c:pt>
                <c:pt idx="12">
                  <c:v>94.779999000000004</c:v>
                </c:pt>
                <c:pt idx="13">
                  <c:v>95.199996999999996</c:v>
                </c:pt>
                <c:pt idx="14">
                  <c:v>95.150002000000001</c:v>
                </c:pt>
                <c:pt idx="15">
                  <c:v>95.080001999999993</c:v>
                </c:pt>
                <c:pt idx="16">
                  <c:v>95.5</c:v>
                </c:pt>
                <c:pt idx="17">
                  <c:v>94.889999000000003</c:v>
                </c:pt>
                <c:pt idx="18">
                  <c:v>95.650002000000001</c:v>
                </c:pt>
                <c:pt idx="19">
                  <c:v>95.230002999999996</c:v>
                </c:pt>
                <c:pt idx="20">
                  <c:v>96.150002000000001</c:v>
                </c:pt>
                <c:pt idx="21">
                  <c:v>96.25</c:v>
                </c:pt>
                <c:pt idx="22">
                  <c:v>96</c:v>
                </c:pt>
                <c:pt idx="23">
                  <c:v>97.220000999999996</c:v>
                </c:pt>
                <c:pt idx="24">
                  <c:v>97.040001000000004</c:v>
                </c:pt>
                <c:pt idx="25">
                  <c:v>96.919998000000007</c:v>
                </c:pt>
                <c:pt idx="26">
                  <c:v>97.419998000000007</c:v>
                </c:pt>
                <c:pt idx="27">
                  <c:v>98.540001000000004</c:v>
                </c:pt>
                <c:pt idx="28">
                  <c:v>98.690002000000007</c:v>
                </c:pt>
                <c:pt idx="29">
                  <c:v>98.989998</c:v>
                </c:pt>
                <c:pt idx="30">
                  <c:v>100</c:v>
                </c:pt>
                <c:pt idx="31">
                  <c:v>100.160004</c:v>
                </c:pt>
                <c:pt idx="32">
                  <c:v>99.220000999999996</c:v>
                </c:pt>
                <c:pt idx="33">
                  <c:v>99.25</c:v>
                </c:pt>
                <c:pt idx="34">
                  <c:v>99.5</c:v>
                </c:pt>
                <c:pt idx="35">
                  <c:v>99.82</c:v>
                </c:pt>
                <c:pt idx="36">
                  <c:v>100.139999</c:v>
                </c:pt>
                <c:pt idx="37">
                  <c:v>99.940002000000007</c:v>
                </c:pt>
                <c:pt idx="38">
                  <c:v>100.349998</c:v>
                </c:pt>
                <c:pt idx="39">
                  <c:v>101.349998</c:v>
                </c:pt>
                <c:pt idx="40">
                  <c:v>101.779999</c:v>
                </c:pt>
                <c:pt idx="41">
                  <c:v>101.650002</c:v>
                </c:pt>
                <c:pt idx="42">
                  <c:v>100.620003</c:v>
                </c:pt>
                <c:pt idx="43">
                  <c:v>100.400002</c:v>
                </c:pt>
                <c:pt idx="44">
                  <c:v>99.830001999999993</c:v>
                </c:pt>
                <c:pt idx="45">
                  <c:v>99.449996999999996</c:v>
                </c:pt>
                <c:pt idx="46">
                  <c:v>99.879997000000003</c:v>
                </c:pt>
                <c:pt idx="47">
                  <c:v>100.650002</c:v>
                </c:pt>
                <c:pt idx="48">
                  <c:v>101.099998</c:v>
                </c:pt>
                <c:pt idx="49">
                  <c:v>101.220001</c:v>
                </c:pt>
                <c:pt idx="50">
                  <c:v>101.400002</c:v>
                </c:pt>
                <c:pt idx="51">
                  <c:v>101.449997</c:v>
                </c:pt>
                <c:pt idx="52">
                  <c:v>101.949997</c:v>
                </c:pt>
                <c:pt idx="53">
                  <c:v>101.550003</c:v>
                </c:pt>
                <c:pt idx="54">
                  <c:v>102.099998</c:v>
                </c:pt>
                <c:pt idx="55">
                  <c:v>102.639999</c:v>
                </c:pt>
                <c:pt idx="56">
                  <c:v>103.139999</c:v>
                </c:pt>
                <c:pt idx="57">
                  <c:v>103.529999</c:v>
                </c:pt>
                <c:pt idx="58">
                  <c:v>103.94000200000001</c:v>
                </c:pt>
                <c:pt idx="59">
                  <c:v>103.66999800000001</c:v>
                </c:pt>
                <c:pt idx="60">
                  <c:v>104</c:v>
                </c:pt>
                <c:pt idx="61">
                  <c:v>104.800003</c:v>
                </c:pt>
                <c:pt idx="62">
                  <c:v>104.339996</c:v>
                </c:pt>
                <c:pt idx="63">
                  <c:v>104.510002</c:v>
                </c:pt>
                <c:pt idx="64">
                  <c:v>103.550003</c:v>
                </c:pt>
                <c:pt idx="65">
                  <c:v>102.410004</c:v>
                </c:pt>
                <c:pt idx="66">
                  <c:v>102.239998</c:v>
                </c:pt>
                <c:pt idx="67">
                  <c:v>102.129997</c:v>
                </c:pt>
                <c:pt idx="68">
                  <c:v>103.099998</c:v>
                </c:pt>
                <c:pt idx="69">
                  <c:v>100.80999799999999</c:v>
                </c:pt>
                <c:pt idx="70">
                  <c:v>101.82</c:v>
                </c:pt>
                <c:pt idx="71">
                  <c:v>105.68</c:v>
                </c:pt>
                <c:pt idx="72">
                  <c:v>104.870003</c:v>
                </c:pt>
                <c:pt idx="73">
                  <c:v>105.610001</c:v>
                </c:pt>
                <c:pt idx="74">
                  <c:v>106.010002</c:v>
                </c:pt>
                <c:pt idx="75">
                  <c:v>106.050003</c:v>
                </c:pt>
                <c:pt idx="76">
                  <c:v>106.269997</c:v>
                </c:pt>
                <c:pt idx="77">
                  <c:v>106.790001</c:v>
                </c:pt>
                <c:pt idx="78">
                  <c:v>107.25</c:v>
                </c:pt>
                <c:pt idx="79">
                  <c:v>106.370003</c:v>
                </c:pt>
                <c:pt idx="80">
                  <c:v>106.709999</c:v>
                </c:pt>
                <c:pt idx="81">
                  <c:v>107.449997</c:v>
                </c:pt>
                <c:pt idx="82">
                  <c:v>107.260002</c:v>
                </c:pt>
                <c:pt idx="83">
                  <c:v>106.339996</c:v>
                </c:pt>
                <c:pt idx="84">
                  <c:v>106.620003</c:v>
                </c:pt>
                <c:pt idx="85">
                  <c:v>106.07</c:v>
                </c:pt>
                <c:pt idx="86">
                  <c:v>105.55999799999999</c:v>
                </c:pt>
                <c:pt idx="87">
                  <c:v>105.449997</c:v>
                </c:pt>
                <c:pt idx="88">
                  <c:v>105.239998</c:v>
                </c:pt>
                <c:pt idx="89">
                  <c:v>107.230003</c:v>
                </c:pt>
                <c:pt idx="90">
                  <c:v>106.699997</c:v>
                </c:pt>
                <c:pt idx="91">
                  <c:v>107.480003</c:v>
                </c:pt>
                <c:pt idx="92">
                  <c:v>107.540001</c:v>
                </c:pt>
                <c:pt idx="93">
                  <c:v>108.75</c:v>
                </c:pt>
                <c:pt idx="94">
                  <c:v>108.910004</c:v>
                </c:pt>
                <c:pt idx="95">
                  <c:v>108.91999800000001</c:v>
                </c:pt>
                <c:pt idx="96">
                  <c:v>109.599998</c:v>
                </c:pt>
                <c:pt idx="97">
                  <c:v>109.660004</c:v>
                </c:pt>
                <c:pt idx="98">
                  <c:v>109.639999</c:v>
                </c:pt>
                <c:pt idx="99">
                  <c:v>109.989998</c:v>
                </c:pt>
                <c:pt idx="100">
                  <c:v>109</c:v>
                </c:pt>
                <c:pt idx="101">
                  <c:v>107.949997</c:v>
                </c:pt>
                <c:pt idx="102">
                  <c:v>108.709999</c:v>
                </c:pt>
                <c:pt idx="103">
                  <c:v>109.529999</c:v>
                </c:pt>
                <c:pt idx="104">
                  <c:v>111.83000199999999</c:v>
                </c:pt>
                <c:pt idx="105">
                  <c:v>111.879997</c:v>
                </c:pt>
                <c:pt idx="106">
                  <c:v>113.5</c:v>
                </c:pt>
                <c:pt idx="107">
                  <c:v>113.839996</c:v>
                </c:pt>
                <c:pt idx="108">
                  <c:v>115.41999800000001</c:v>
                </c:pt>
                <c:pt idx="109">
                  <c:v>114.779999</c:v>
                </c:pt>
                <c:pt idx="110">
                  <c:v>114.480003</c:v>
                </c:pt>
                <c:pt idx="111">
                  <c:v>114.379997</c:v>
                </c:pt>
                <c:pt idx="112">
                  <c:v>114.599998</c:v>
                </c:pt>
                <c:pt idx="113">
                  <c:v>114.80999799999999</c:v>
                </c:pt>
                <c:pt idx="114">
                  <c:v>114.989998</c:v>
                </c:pt>
                <c:pt idx="115">
                  <c:v>114.66999800000001</c:v>
                </c:pt>
                <c:pt idx="116">
                  <c:v>114.730003</c:v>
                </c:pt>
                <c:pt idx="117">
                  <c:v>116.290001</c:v>
                </c:pt>
                <c:pt idx="118">
                  <c:v>116.80999799999999</c:v>
                </c:pt>
                <c:pt idx="119">
                  <c:v>117.139999</c:v>
                </c:pt>
                <c:pt idx="120">
                  <c:v>117.339996</c:v>
                </c:pt>
                <c:pt idx="121">
                  <c:v>116.449997</c:v>
                </c:pt>
                <c:pt idx="122">
                  <c:v>116.010002</c:v>
                </c:pt>
                <c:pt idx="123">
                  <c:v>116.33000199999999</c:v>
                </c:pt>
                <c:pt idx="124">
                  <c:v>116.30999799999999</c:v>
                </c:pt>
              </c:numCache>
            </c:numRef>
          </c:val>
          <c:smooth val="0"/>
        </c:ser>
        <c:ser>
          <c:idx val="2"/>
          <c:order val="2"/>
          <c:tx>
            <c:strRef>
              <c:f>'[STOCK_CHARTS_BADM1030.xlsm]WM_6MONTH-DAILY'!$D$1</c:f>
              <c:strCache>
                <c:ptCount val="1"/>
                <c:pt idx="0">
                  <c:v>Low</c:v>
                </c:pt>
              </c:strCache>
            </c:strRef>
          </c:tx>
          <c:spPr>
            <a:ln w="31750" cap="rnd">
              <a:noFill/>
              <a:round/>
            </a:ln>
            <a:effectLst/>
          </c:spPr>
          <c:marker>
            <c:symbol val="none"/>
          </c:marker>
          <c:cat>
            <c:numRef>
              <c:f>'[STOCK_CHARTS_BADM1030.xlsm]WM_6MONTH-DAILY'!$A$2:$A$126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'[STOCK_CHARTS_BADM1030.xlsm]WM_6MONTH-DAILY'!$D$2:$D$126</c:f>
              <c:numCache>
                <c:formatCode>General</c:formatCode>
                <c:ptCount val="125"/>
                <c:pt idx="0">
                  <c:v>87.43</c:v>
                </c:pt>
                <c:pt idx="1">
                  <c:v>87.32</c:v>
                </c:pt>
                <c:pt idx="2">
                  <c:v>89</c:v>
                </c:pt>
                <c:pt idx="3">
                  <c:v>90.449996999999996</c:v>
                </c:pt>
                <c:pt idx="4">
                  <c:v>90.980002999999996</c:v>
                </c:pt>
                <c:pt idx="5">
                  <c:v>91.190002000000007</c:v>
                </c:pt>
                <c:pt idx="6">
                  <c:v>91.699996999999996</c:v>
                </c:pt>
                <c:pt idx="7">
                  <c:v>92.879997000000003</c:v>
                </c:pt>
                <c:pt idx="8">
                  <c:v>92.57</c:v>
                </c:pt>
                <c:pt idx="9">
                  <c:v>93.18</c:v>
                </c:pt>
                <c:pt idx="10">
                  <c:v>92.480002999999996</c:v>
                </c:pt>
                <c:pt idx="11">
                  <c:v>92.489998</c:v>
                </c:pt>
                <c:pt idx="12">
                  <c:v>93.080001999999993</c:v>
                </c:pt>
                <c:pt idx="13">
                  <c:v>93.839995999999999</c:v>
                </c:pt>
                <c:pt idx="14">
                  <c:v>94.470000999999996</c:v>
                </c:pt>
                <c:pt idx="15">
                  <c:v>94.209998999999996</c:v>
                </c:pt>
                <c:pt idx="16">
                  <c:v>94.540001000000004</c:v>
                </c:pt>
                <c:pt idx="17">
                  <c:v>93.849997999999999</c:v>
                </c:pt>
                <c:pt idx="18">
                  <c:v>94.339995999999999</c:v>
                </c:pt>
                <c:pt idx="19">
                  <c:v>93.980002999999996</c:v>
                </c:pt>
                <c:pt idx="20">
                  <c:v>94.480002999999996</c:v>
                </c:pt>
                <c:pt idx="21">
                  <c:v>95.089995999999999</c:v>
                </c:pt>
                <c:pt idx="22">
                  <c:v>94.879997000000003</c:v>
                </c:pt>
                <c:pt idx="23">
                  <c:v>96.220000999999996</c:v>
                </c:pt>
                <c:pt idx="24">
                  <c:v>96.230002999999996</c:v>
                </c:pt>
                <c:pt idx="25">
                  <c:v>95.989998</c:v>
                </c:pt>
                <c:pt idx="26">
                  <c:v>95.93</c:v>
                </c:pt>
                <c:pt idx="27">
                  <c:v>97.080001999999993</c:v>
                </c:pt>
                <c:pt idx="28">
                  <c:v>97.480002999999996</c:v>
                </c:pt>
                <c:pt idx="29">
                  <c:v>97.980002999999996</c:v>
                </c:pt>
                <c:pt idx="30">
                  <c:v>97.220000999999996</c:v>
                </c:pt>
                <c:pt idx="31">
                  <c:v>98.620002999999997</c:v>
                </c:pt>
                <c:pt idx="32">
                  <c:v>98.580001999999993</c:v>
                </c:pt>
                <c:pt idx="33">
                  <c:v>98.730002999999996</c:v>
                </c:pt>
                <c:pt idx="34">
                  <c:v>98.769997000000004</c:v>
                </c:pt>
                <c:pt idx="35">
                  <c:v>99.029999000000004</c:v>
                </c:pt>
                <c:pt idx="36">
                  <c:v>99.239998</c:v>
                </c:pt>
                <c:pt idx="37">
                  <c:v>99.239998</c:v>
                </c:pt>
                <c:pt idx="38">
                  <c:v>99.209998999999996</c:v>
                </c:pt>
                <c:pt idx="39">
                  <c:v>100.209999</c:v>
                </c:pt>
                <c:pt idx="40">
                  <c:v>100.550003</c:v>
                </c:pt>
                <c:pt idx="41">
                  <c:v>99.690002000000007</c:v>
                </c:pt>
                <c:pt idx="42">
                  <c:v>99.709998999999996</c:v>
                </c:pt>
                <c:pt idx="43">
                  <c:v>99.699996999999996</c:v>
                </c:pt>
                <c:pt idx="44">
                  <c:v>98.900002000000001</c:v>
                </c:pt>
                <c:pt idx="45">
                  <c:v>98.190002000000007</c:v>
                </c:pt>
                <c:pt idx="46">
                  <c:v>98.900002000000001</c:v>
                </c:pt>
                <c:pt idx="47">
                  <c:v>99.559997999999993</c:v>
                </c:pt>
                <c:pt idx="48">
                  <c:v>100.470001</c:v>
                </c:pt>
                <c:pt idx="49">
                  <c:v>100.5</c:v>
                </c:pt>
                <c:pt idx="50">
                  <c:v>100.339996</c:v>
                </c:pt>
                <c:pt idx="51">
                  <c:v>100.57</c:v>
                </c:pt>
                <c:pt idx="52">
                  <c:v>100.82</c:v>
                </c:pt>
                <c:pt idx="53">
                  <c:v>100.66999800000001</c:v>
                </c:pt>
                <c:pt idx="54">
                  <c:v>100.599998</c:v>
                </c:pt>
                <c:pt idx="55">
                  <c:v>101.410004</c:v>
                </c:pt>
                <c:pt idx="56">
                  <c:v>101.910004</c:v>
                </c:pt>
                <c:pt idx="57">
                  <c:v>102.470001</c:v>
                </c:pt>
                <c:pt idx="58">
                  <c:v>102.610001</c:v>
                </c:pt>
                <c:pt idx="59">
                  <c:v>102.980003</c:v>
                </c:pt>
                <c:pt idx="60">
                  <c:v>103.33000199999999</c:v>
                </c:pt>
                <c:pt idx="61">
                  <c:v>103.010002</c:v>
                </c:pt>
                <c:pt idx="62">
                  <c:v>103.480003</c:v>
                </c:pt>
                <c:pt idx="63">
                  <c:v>103.410004</c:v>
                </c:pt>
                <c:pt idx="64">
                  <c:v>101.94000200000001</c:v>
                </c:pt>
                <c:pt idx="65">
                  <c:v>101.94000200000001</c:v>
                </c:pt>
                <c:pt idx="66">
                  <c:v>100.93</c:v>
                </c:pt>
                <c:pt idx="67">
                  <c:v>101.339996</c:v>
                </c:pt>
                <c:pt idx="68">
                  <c:v>101.75</c:v>
                </c:pt>
                <c:pt idx="69">
                  <c:v>97.550003000000004</c:v>
                </c:pt>
                <c:pt idx="70">
                  <c:v>100.470001</c:v>
                </c:pt>
                <c:pt idx="71">
                  <c:v>103.139999</c:v>
                </c:pt>
                <c:pt idx="72">
                  <c:v>103.970001</c:v>
                </c:pt>
                <c:pt idx="73">
                  <c:v>104.5</c:v>
                </c:pt>
                <c:pt idx="74">
                  <c:v>104.82</c:v>
                </c:pt>
                <c:pt idx="75">
                  <c:v>105.150002</c:v>
                </c:pt>
                <c:pt idx="76">
                  <c:v>105.07</c:v>
                </c:pt>
                <c:pt idx="77">
                  <c:v>105.790001</c:v>
                </c:pt>
                <c:pt idx="78">
                  <c:v>105.360001</c:v>
                </c:pt>
                <c:pt idx="79">
                  <c:v>105.41999800000001</c:v>
                </c:pt>
                <c:pt idx="80">
                  <c:v>105.900002</c:v>
                </c:pt>
                <c:pt idx="81">
                  <c:v>106.040001</c:v>
                </c:pt>
                <c:pt idx="82">
                  <c:v>105.970001</c:v>
                </c:pt>
                <c:pt idx="83">
                  <c:v>105.33000199999999</c:v>
                </c:pt>
                <c:pt idx="84">
                  <c:v>105.82</c:v>
                </c:pt>
                <c:pt idx="85">
                  <c:v>105.139999</c:v>
                </c:pt>
                <c:pt idx="86">
                  <c:v>104.050003</c:v>
                </c:pt>
                <c:pt idx="87">
                  <c:v>104.300003</c:v>
                </c:pt>
                <c:pt idx="88">
                  <c:v>103.839996</c:v>
                </c:pt>
                <c:pt idx="89">
                  <c:v>104.599998</c:v>
                </c:pt>
                <c:pt idx="90">
                  <c:v>105.279999</c:v>
                </c:pt>
                <c:pt idx="91">
                  <c:v>106.220001</c:v>
                </c:pt>
                <c:pt idx="92">
                  <c:v>105.75</c:v>
                </c:pt>
                <c:pt idx="93">
                  <c:v>107.32</c:v>
                </c:pt>
                <c:pt idx="94">
                  <c:v>107.339996</c:v>
                </c:pt>
                <c:pt idx="95">
                  <c:v>107.699997</c:v>
                </c:pt>
                <c:pt idx="96">
                  <c:v>108.83000199999999</c:v>
                </c:pt>
                <c:pt idx="97">
                  <c:v>108.839996</c:v>
                </c:pt>
                <c:pt idx="98">
                  <c:v>108.720001</c:v>
                </c:pt>
                <c:pt idx="99">
                  <c:v>108.339996</c:v>
                </c:pt>
                <c:pt idx="100">
                  <c:v>107.75</c:v>
                </c:pt>
                <c:pt idx="101">
                  <c:v>106.69000200000001</c:v>
                </c:pt>
                <c:pt idx="102">
                  <c:v>107</c:v>
                </c:pt>
                <c:pt idx="103">
                  <c:v>107.800003</c:v>
                </c:pt>
                <c:pt idx="104">
                  <c:v>110.25</c:v>
                </c:pt>
                <c:pt idx="105">
                  <c:v>110.370003</c:v>
                </c:pt>
                <c:pt idx="106">
                  <c:v>111.33000199999999</c:v>
                </c:pt>
                <c:pt idx="107">
                  <c:v>112.620003</c:v>
                </c:pt>
                <c:pt idx="108">
                  <c:v>114.050003</c:v>
                </c:pt>
                <c:pt idx="109">
                  <c:v>113.519997</c:v>
                </c:pt>
                <c:pt idx="110">
                  <c:v>112.55999799999999</c:v>
                </c:pt>
                <c:pt idx="111">
                  <c:v>113.150002</c:v>
                </c:pt>
                <c:pt idx="112">
                  <c:v>113.269997</c:v>
                </c:pt>
                <c:pt idx="113">
                  <c:v>113.110001</c:v>
                </c:pt>
                <c:pt idx="114">
                  <c:v>113.94000200000001</c:v>
                </c:pt>
                <c:pt idx="115">
                  <c:v>113.879997</c:v>
                </c:pt>
                <c:pt idx="116">
                  <c:v>113.529999</c:v>
                </c:pt>
                <c:pt idx="117">
                  <c:v>114.720001</c:v>
                </c:pt>
                <c:pt idx="118">
                  <c:v>115.739998</c:v>
                </c:pt>
                <c:pt idx="119">
                  <c:v>115.91999800000001</c:v>
                </c:pt>
                <c:pt idx="120">
                  <c:v>116.410004</c:v>
                </c:pt>
                <c:pt idx="121">
                  <c:v>114.30999799999999</c:v>
                </c:pt>
                <c:pt idx="122">
                  <c:v>114.629997</c:v>
                </c:pt>
                <c:pt idx="123">
                  <c:v>115.349998</c:v>
                </c:pt>
                <c:pt idx="124">
                  <c:v>114.44000200000001</c:v>
                </c:pt>
              </c:numCache>
            </c:numRef>
          </c:val>
          <c:smooth val="0"/>
        </c:ser>
        <c:ser>
          <c:idx val="3"/>
          <c:order val="3"/>
          <c:tx>
            <c:strRef>
              <c:f>'[STOCK_CHARTS_BADM1030.xlsm]WM_6MONTH-DAILY'!$E$1</c:f>
              <c:strCache>
                <c:ptCount val="1"/>
                <c:pt idx="0">
                  <c:v>Close</c:v>
                </c:pt>
              </c:strCache>
            </c:strRef>
          </c:tx>
          <c:spPr>
            <a:ln w="31750" cap="rnd">
              <a:noFill/>
              <a:round/>
            </a:ln>
            <a:effectLst/>
          </c:spPr>
          <c:marker>
            <c:symbol val="dot"/>
            <c:size val="5"/>
            <c:spPr>
              <a:solidFill>
                <a:schemeClr val="accent4"/>
              </a:solidFill>
              <a:ln w="9525">
                <a:solidFill>
                  <a:schemeClr val="accent4"/>
                </a:solidFill>
              </a:ln>
              <a:effectLst/>
            </c:spPr>
          </c:marker>
          <c:cat>
            <c:numRef>
              <c:f>'[STOCK_CHARTS_BADM1030.xlsm]WM_6MONTH-DAILY'!$A$2:$A$126</c:f>
              <c:numCache>
                <c:formatCode>m/d/yyyy</c:formatCode>
                <c:ptCount val="125"/>
                <c:pt idx="0">
                  <c:v>43467</c:v>
                </c:pt>
                <c:pt idx="1">
                  <c:v>43468</c:v>
                </c:pt>
                <c:pt idx="2">
                  <c:v>43469</c:v>
                </c:pt>
                <c:pt idx="3">
                  <c:v>43472</c:v>
                </c:pt>
                <c:pt idx="4">
                  <c:v>43473</c:v>
                </c:pt>
                <c:pt idx="5">
                  <c:v>43474</c:v>
                </c:pt>
                <c:pt idx="6">
                  <c:v>43475</c:v>
                </c:pt>
                <c:pt idx="7">
                  <c:v>43476</c:v>
                </c:pt>
                <c:pt idx="8">
                  <c:v>43479</c:v>
                </c:pt>
                <c:pt idx="9">
                  <c:v>43480</c:v>
                </c:pt>
                <c:pt idx="10">
                  <c:v>43481</c:v>
                </c:pt>
                <c:pt idx="11">
                  <c:v>43482</c:v>
                </c:pt>
                <c:pt idx="12">
                  <c:v>43483</c:v>
                </c:pt>
                <c:pt idx="13">
                  <c:v>43487</c:v>
                </c:pt>
                <c:pt idx="14">
                  <c:v>43488</c:v>
                </c:pt>
                <c:pt idx="15">
                  <c:v>43489</c:v>
                </c:pt>
                <c:pt idx="16">
                  <c:v>43490</c:v>
                </c:pt>
                <c:pt idx="17">
                  <c:v>43493</c:v>
                </c:pt>
                <c:pt idx="18">
                  <c:v>43494</c:v>
                </c:pt>
                <c:pt idx="19">
                  <c:v>43495</c:v>
                </c:pt>
                <c:pt idx="20">
                  <c:v>43496</c:v>
                </c:pt>
                <c:pt idx="21">
                  <c:v>43497</c:v>
                </c:pt>
                <c:pt idx="22">
                  <c:v>43500</c:v>
                </c:pt>
                <c:pt idx="23">
                  <c:v>43501</c:v>
                </c:pt>
                <c:pt idx="24">
                  <c:v>43502</c:v>
                </c:pt>
                <c:pt idx="25">
                  <c:v>43503</c:v>
                </c:pt>
                <c:pt idx="26">
                  <c:v>43504</c:v>
                </c:pt>
                <c:pt idx="27">
                  <c:v>43507</c:v>
                </c:pt>
                <c:pt idx="28">
                  <c:v>43508</c:v>
                </c:pt>
                <c:pt idx="29">
                  <c:v>43509</c:v>
                </c:pt>
                <c:pt idx="30">
                  <c:v>43510</c:v>
                </c:pt>
                <c:pt idx="31">
                  <c:v>43511</c:v>
                </c:pt>
                <c:pt idx="32">
                  <c:v>43515</c:v>
                </c:pt>
                <c:pt idx="33">
                  <c:v>43516</c:v>
                </c:pt>
                <c:pt idx="34">
                  <c:v>43517</c:v>
                </c:pt>
                <c:pt idx="35">
                  <c:v>43518</c:v>
                </c:pt>
                <c:pt idx="36">
                  <c:v>43521</c:v>
                </c:pt>
                <c:pt idx="37">
                  <c:v>43522</c:v>
                </c:pt>
                <c:pt idx="38">
                  <c:v>43523</c:v>
                </c:pt>
                <c:pt idx="39">
                  <c:v>43524</c:v>
                </c:pt>
                <c:pt idx="40">
                  <c:v>43525</c:v>
                </c:pt>
                <c:pt idx="41">
                  <c:v>43528</c:v>
                </c:pt>
                <c:pt idx="42">
                  <c:v>43529</c:v>
                </c:pt>
                <c:pt idx="43">
                  <c:v>43530</c:v>
                </c:pt>
                <c:pt idx="44">
                  <c:v>43531</c:v>
                </c:pt>
                <c:pt idx="45">
                  <c:v>43532</c:v>
                </c:pt>
                <c:pt idx="46">
                  <c:v>43535</c:v>
                </c:pt>
                <c:pt idx="47">
                  <c:v>43536</c:v>
                </c:pt>
                <c:pt idx="48">
                  <c:v>43537</c:v>
                </c:pt>
                <c:pt idx="49">
                  <c:v>43538</c:v>
                </c:pt>
                <c:pt idx="50">
                  <c:v>43539</c:v>
                </c:pt>
                <c:pt idx="51">
                  <c:v>43542</c:v>
                </c:pt>
                <c:pt idx="52">
                  <c:v>43543</c:v>
                </c:pt>
                <c:pt idx="53">
                  <c:v>43544</c:v>
                </c:pt>
                <c:pt idx="54">
                  <c:v>43545</c:v>
                </c:pt>
                <c:pt idx="55">
                  <c:v>43546</c:v>
                </c:pt>
                <c:pt idx="56">
                  <c:v>43549</c:v>
                </c:pt>
                <c:pt idx="57">
                  <c:v>43550</c:v>
                </c:pt>
                <c:pt idx="58">
                  <c:v>43551</c:v>
                </c:pt>
                <c:pt idx="59">
                  <c:v>43552</c:v>
                </c:pt>
                <c:pt idx="60">
                  <c:v>43553</c:v>
                </c:pt>
                <c:pt idx="61">
                  <c:v>43556</c:v>
                </c:pt>
                <c:pt idx="62">
                  <c:v>43557</c:v>
                </c:pt>
                <c:pt idx="63">
                  <c:v>43558</c:v>
                </c:pt>
                <c:pt idx="64">
                  <c:v>43559</c:v>
                </c:pt>
                <c:pt idx="65">
                  <c:v>43560</c:v>
                </c:pt>
                <c:pt idx="66">
                  <c:v>43563</c:v>
                </c:pt>
                <c:pt idx="67">
                  <c:v>43564</c:v>
                </c:pt>
                <c:pt idx="68">
                  <c:v>43565</c:v>
                </c:pt>
                <c:pt idx="69">
                  <c:v>43566</c:v>
                </c:pt>
                <c:pt idx="70">
                  <c:v>43567</c:v>
                </c:pt>
                <c:pt idx="71">
                  <c:v>43570</c:v>
                </c:pt>
                <c:pt idx="72">
                  <c:v>43571</c:v>
                </c:pt>
                <c:pt idx="73">
                  <c:v>43572</c:v>
                </c:pt>
                <c:pt idx="74">
                  <c:v>43573</c:v>
                </c:pt>
                <c:pt idx="75">
                  <c:v>43577</c:v>
                </c:pt>
                <c:pt idx="76">
                  <c:v>43578</c:v>
                </c:pt>
                <c:pt idx="77">
                  <c:v>43579</c:v>
                </c:pt>
                <c:pt idx="78">
                  <c:v>43580</c:v>
                </c:pt>
                <c:pt idx="79">
                  <c:v>43581</c:v>
                </c:pt>
                <c:pt idx="80">
                  <c:v>43584</c:v>
                </c:pt>
                <c:pt idx="81">
                  <c:v>43585</c:v>
                </c:pt>
                <c:pt idx="82">
                  <c:v>43586</c:v>
                </c:pt>
                <c:pt idx="83">
                  <c:v>43587</c:v>
                </c:pt>
                <c:pt idx="84">
                  <c:v>43588</c:v>
                </c:pt>
                <c:pt idx="85">
                  <c:v>43591</c:v>
                </c:pt>
                <c:pt idx="86">
                  <c:v>43592</c:v>
                </c:pt>
                <c:pt idx="87">
                  <c:v>43593</c:v>
                </c:pt>
                <c:pt idx="88">
                  <c:v>43594</c:v>
                </c:pt>
                <c:pt idx="89">
                  <c:v>43595</c:v>
                </c:pt>
                <c:pt idx="90">
                  <c:v>43598</c:v>
                </c:pt>
                <c:pt idx="91">
                  <c:v>43599</c:v>
                </c:pt>
                <c:pt idx="92">
                  <c:v>43600</c:v>
                </c:pt>
                <c:pt idx="93">
                  <c:v>43601</c:v>
                </c:pt>
                <c:pt idx="94">
                  <c:v>43602</c:v>
                </c:pt>
                <c:pt idx="95">
                  <c:v>43605</c:v>
                </c:pt>
                <c:pt idx="96">
                  <c:v>43606</c:v>
                </c:pt>
                <c:pt idx="97">
                  <c:v>43607</c:v>
                </c:pt>
                <c:pt idx="98">
                  <c:v>43608</c:v>
                </c:pt>
                <c:pt idx="99">
                  <c:v>43609</c:v>
                </c:pt>
                <c:pt idx="100">
                  <c:v>43613</c:v>
                </c:pt>
                <c:pt idx="101">
                  <c:v>43614</c:v>
                </c:pt>
                <c:pt idx="102">
                  <c:v>43615</c:v>
                </c:pt>
                <c:pt idx="103">
                  <c:v>43616</c:v>
                </c:pt>
                <c:pt idx="104">
                  <c:v>43619</c:v>
                </c:pt>
                <c:pt idx="105">
                  <c:v>43620</c:v>
                </c:pt>
                <c:pt idx="106">
                  <c:v>43621</c:v>
                </c:pt>
                <c:pt idx="107">
                  <c:v>43622</c:v>
                </c:pt>
                <c:pt idx="108">
                  <c:v>43623</c:v>
                </c:pt>
                <c:pt idx="109">
                  <c:v>43626</c:v>
                </c:pt>
                <c:pt idx="110">
                  <c:v>43627</c:v>
                </c:pt>
                <c:pt idx="111">
                  <c:v>43628</c:v>
                </c:pt>
                <c:pt idx="112">
                  <c:v>43629</c:v>
                </c:pt>
                <c:pt idx="113">
                  <c:v>43630</c:v>
                </c:pt>
                <c:pt idx="114">
                  <c:v>43633</c:v>
                </c:pt>
                <c:pt idx="115">
                  <c:v>43634</c:v>
                </c:pt>
                <c:pt idx="116">
                  <c:v>43635</c:v>
                </c:pt>
                <c:pt idx="117">
                  <c:v>43636</c:v>
                </c:pt>
                <c:pt idx="118">
                  <c:v>43637</c:v>
                </c:pt>
                <c:pt idx="119">
                  <c:v>43640</c:v>
                </c:pt>
                <c:pt idx="120">
                  <c:v>43641</c:v>
                </c:pt>
                <c:pt idx="121">
                  <c:v>43642</c:v>
                </c:pt>
                <c:pt idx="122">
                  <c:v>43643</c:v>
                </c:pt>
                <c:pt idx="123">
                  <c:v>43644</c:v>
                </c:pt>
                <c:pt idx="124">
                  <c:v>43647</c:v>
                </c:pt>
              </c:numCache>
            </c:numRef>
          </c:cat>
          <c:val>
            <c:numRef>
              <c:f>'[STOCK_CHARTS_BADM1030.xlsm]WM_6MONTH-DAILY'!$E$2:$E$126</c:f>
              <c:numCache>
                <c:formatCode>General</c:formatCode>
                <c:ptCount val="125"/>
                <c:pt idx="0">
                  <c:v>88.720000999999996</c:v>
                </c:pt>
                <c:pt idx="1">
                  <c:v>88.480002999999996</c:v>
                </c:pt>
                <c:pt idx="2">
                  <c:v>90.830001999999993</c:v>
                </c:pt>
                <c:pt idx="3">
                  <c:v>91.050003000000004</c:v>
                </c:pt>
                <c:pt idx="4">
                  <c:v>92.339995999999999</c:v>
                </c:pt>
                <c:pt idx="5">
                  <c:v>91.870002999999997</c:v>
                </c:pt>
                <c:pt idx="6">
                  <c:v>93.190002000000007</c:v>
                </c:pt>
                <c:pt idx="7">
                  <c:v>93.650002000000001</c:v>
                </c:pt>
                <c:pt idx="8">
                  <c:v>93.110000999999997</c:v>
                </c:pt>
                <c:pt idx="9">
                  <c:v>93.779999000000004</c:v>
                </c:pt>
                <c:pt idx="10">
                  <c:v>92.699996999999996</c:v>
                </c:pt>
                <c:pt idx="11">
                  <c:v>93.32</c:v>
                </c:pt>
                <c:pt idx="12">
                  <c:v>94.470000999999996</c:v>
                </c:pt>
                <c:pt idx="13">
                  <c:v>94.879997000000003</c:v>
                </c:pt>
                <c:pt idx="14">
                  <c:v>94.910004000000001</c:v>
                </c:pt>
                <c:pt idx="15">
                  <c:v>94.410004000000001</c:v>
                </c:pt>
                <c:pt idx="16">
                  <c:v>94.900002000000001</c:v>
                </c:pt>
                <c:pt idx="17">
                  <c:v>94.5</c:v>
                </c:pt>
                <c:pt idx="18">
                  <c:v>94.760002</c:v>
                </c:pt>
                <c:pt idx="19">
                  <c:v>94.940002000000007</c:v>
                </c:pt>
                <c:pt idx="20">
                  <c:v>95.669998000000007</c:v>
                </c:pt>
                <c:pt idx="21">
                  <c:v>95.470000999999996</c:v>
                </c:pt>
                <c:pt idx="22">
                  <c:v>96</c:v>
                </c:pt>
                <c:pt idx="23">
                  <c:v>97.209998999999996</c:v>
                </c:pt>
                <c:pt idx="24">
                  <c:v>96.660004000000001</c:v>
                </c:pt>
                <c:pt idx="25">
                  <c:v>96.889999000000003</c:v>
                </c:pt>
                <c:pt idx="26">
                  <c:v>97.419998000000007</c:v>
                </c:pt>
                <c:pt idx="27">
                  <c:v>97.370002999999997</c:v>
                </c:pt>
                <c:pt idx="28">
                  <c:v>98.650002000000001</c:v>
                </c:pt>
                <c:pt idx="29">
                  <c:v>98.559997999999993</c:v>
                </c:pt>
                <c:pt idx="30">
                  <c:v>98.839995999999999</c:v>
                </c:pt>
                <c:pt idx="31">
                  <c:v>99.059997999999993</c:v>
                </c:pt>
                <c:pt idx="32">
                  <c:v>99.080001999999993</c:v>
                </c:pt>
                <c:pt idx="33">
                  <c:v>99.18</c:v>
                </c:pt>
                <c:pt idx="34">
                  <c:v>99.32</c:v>
                </c:pt>
                <c:pt idx="35">
                  <c:v>99.730002999999996</c:v>
                </c:pt>
                <c:pt idx="36">
                  <c:v>99.300003000000004</c:v>
                </c:pt>
                <c:pt idx="37">
                  <c:v>99.43</c:v>
                </c:pt>
                <c:pt idx="38">
                  <c:v>100.239998</c:v>
                </c:pt>
                <c:pt idx="39">
                  <c:v>101.25</c:v>
                </c:pt>
                <c:pt idx="40">
                  <c:v>101</c:v>
                </c:pt>
                <c:pt idx="41">
                  <c:v>100.239998</c:v>
                </c:pt>
                <c:pt idx="42">
                  <c:v>99.709998999999996</c:v>
                </c:pt>
                <c:pt idx="43">
                  <c:v>99.809997999999993</c:v>
                </c:pt>
                <c:pt idx="44">
                  <c:v>99.699996999999996</c:v>
                </c:pt>
                <c:pt idx="45">
                  <c:v>98.949996999999996</c:v>
                </c:pt>
                <c:pt idx="46">
                  <c:v>99.849997999999999</c:v>
                </c:pt>
                <c:pt idx="47">
                  <c:v>100.510002</c:v>
                </c:pt>
                <c:pt idx="48">
                  <c:v>101.08000199999999</c:v>
                </c:pt>
                <c:pt idx="49">
                  <c:v>101.160004</c:v>
                </c:pt>
                <c:pt idx="50">
                  <c:v>100.970001</c:v>
                </c:pt>
                <c:pt idx="51">
                  <c:v>101.400002</c:v>
                </c:pt>
                <c:pt idx="52">
                  <c:v>101.260002</c:v>
                </c:pt>
                <c:pt idx="53">
                  <c:v>100.800003</c:v>
                </c:pt>
                <c:pt idx="54">
                  <c:v>101.949997</c:v>
                </c:pt>
                <c:pt idx="55">
                  <c:v>101.900002</c:v>
                </c:pt>
                <c:pt idx="56">
                  <c:v>102.18</c:v>
                </c:pt>
                <c:pt idx="57">
                  <c:v>103.489998</c:v>
                </c:pt>
                <c:pt idx="58">
                  <c:v>102.949997</c:v>
                </c:pt>
                <c:pt idx="59">
                  <c:v>103.43</c:v>
                </c:pt>
                <c:pt idx="60">
                  <c:v>103.910004</c:v>
                </c:pt>
                <c:pt idx="61">
                  <c:v>104.019997</c:v>
                </c:pt>
                <c:pt idx="62">
                  <c:v>104</c:v>
                </c:pt>
                <c:pt idx="63">
                  <c:v>104.019997</c:v>
                </c:pt>
                <c:pt idx="64">
                  <c:v>102</c:v>
                </c:pt>
                <c:pt idx="65">
                  <c:v>102.199997</c:v>
                </c:pt>
                <c:pt idx="66">
                  <c:v>102.089996</c:v>
                </c:pt>
                <c:pt idx="67">
                  <c:v>101.639999</c:v>
                </c:pt>
                <c:pt idx="68">
                  <c:v>102.93</c:v>
                </c:pt>
                <c:pt idx="69">
                  <c:v>100.57</c:v>
                </c:pt>
                <c:pt idx="70">
                  <c:v>101.790001</c:v>
                </c:pt>
                <c:pt idx="71">
                  <c:v>104.260002</c:v>
                </c:pt>
                <c:pt idx="72">
                  <c:v>104.44000200000001</c:v>
                </c:pt>
                <c:pt idx="73">
                  <c:v>105.150002</c:v>
                </c:pt>
                <c:pt idx="74">
                  <c:v>105.779999</c:v>
                </c:pt>
                <c:pt idx="75">
                  <c:v>105.75</c:v>
                </c:pt>
                <c:pt idx="76">
                  <c:v>106.220001</c:v>
                </c:pt>
                <c:pt idx="77">
                  <c:v>106.110001</c:v>
                </c:pt>
                <c:pt idx="78">
                  <c:v>105.519997</c:v>
                </c:pt>
                <c:pt idx="79">
                  <c:v>105.82</c:v>
                </c:pt>
                <c:pt idx="80">
                  <c:v>106.449997</c:v>
                </c:pt>
                <c:pt idx="81">
                  <c:v>107.339996</c:v>
                </c:pt>
                <c:pt idx="82">
                  <c:v>106.050003</c:v>
                </c:pt>
                <c:pt idx="83">
                  <c:v>106.16999800000001</c:v>
                </c:pt>
                <c:pt idx="84">
                  <c:v>106.400002</c:v>
                </c:pt>
                <c:pt idx="85">
                  <c:v>105.889999</c:v>
                </c:pt>
                <c:pt idx="86">
                  <c:v>104.720001</c:v>
                </c:pt>
                <c:pt idx="87">
                  <c:v>104.82</c:v>
                </c:pt>
                <c:pt idx="88">
                  <c:v>105.220001</c:v>
                </c:pt>
                <c:pt idx="89">
                  <c:v>106.989998</c:v>
                </c:pt>
                <c:pt idx="90">
                  <c:v>106.5</c:v>
                </c:pt>
                <c:pt idx="91">
                  <c:v>106.260002</c:v>
                </c:pt>
                <c:pt idx="92">
                  <c:v>107.290001</c:v>
                </c:pt>
                <c:pt idx="93">
                  <c:v>108</c:v>
                </c:pt>
                <c:pt idx="94">
                  <c:v>108.129997</c:v>
                </c:pt>
                <c:pt idx="95">
                  <c:v>108.400002</c:v>
                </c:pt>
                <c:pt idx="96">
                  <c:v>109.290001</c:v>
                </c:pt>
                <c:pt idx="97">
                  <c:v>109.43</c:v>
                </c:pt>
                <c:pt idx="98">
                  <c:v>109.589996</c:v>
                </c:pt>
                <c:pt idx="99">
                  <c:v>108.43</c:v>
                </c:pt>
                <c:pt idx="100">
                  <c:v>108.16999800000001</c:v>
                </c:pt>
                <c:pt idx="101">
                  <c:v>107.239998</c:v>
                </c:pt>
                <c:pt idx="102">
                  <c:v>108.410004</c:v>
                </c:pt>
                <c:pt idx="103">
                  <c:v>109.349998</c:v>
                </c:pt>
                <c:pt idx="104">
                  <c:v>111.370003</c:v>
                </c:pt>
                <c:pt idx="105">
                  <c:v>111.449997</c:v>
                </c:pt>
                <c:pt idx="106">
                  <c:v>113.44000200000001</c:v>
                </c:pt>
                <c:pt idx="107">
                  <c:v>113.57</c:v>
                </c:pt>
                <c:pt idx="108">
                  <c:v>114.360001</c:v>
                </c:pt>
                <c:pt idx="109">
                  <c:v>113.82</c:v>
                </c:pt>
                <c:pt idx="110">
                  <c:v>113.139999</c:v>
                </c:pt>
                <c:pt idx="111">
                  <c:v>114.160004</c:v>
                </c:pt>
                <c:pt idx="112">
                  <c:v>113.650002</c:v>
                </c:pt>
                <c:pt idx="113">
                  <c:v>114.58000199999999</c:v>
                </c:pt>
                <c:pt idx="114">
                  <c:v>113.970001</c:v>
                </c:pt>
                <c:pt idx="115">
                  <c:v>113.900002</c:v>
                </c:pt>
                <c:pt idx="116">
                  <c:v>114.41999800000001</c:v>
                </c:pt>
                <c:pt idx="117">
                  <c:v>116.05999799999999</c:v>
                </c:pt>
                <c:pt idx="118">
                  <c:v>115.839996</c:v>
                </c:pt>
                <c:pt idx="119">
                  <c:v>116.970001</c:v>
                </c:pt>
                <c:pt idx="120">
                  <c:v>116.41999800000001</c:v>
                </c:pt>
                <c:pt idx="121">
                  <c:v>114.589996</c:v>
                </c:pt>
                <c:pt idx="122">
                  <c:v>115.839996</c:v>
                </c:pt>
                <c:pt idx="123">
                  <c:v>115.370003</c:v>
                </c:pt>
                <c:pt idx="124">
                  <c:v>115.290001</c:v>
                </c:pt>
              </c:numCache>
            </c:numRef>
          </c:val>
          <c:smooth val="0"/>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axId val="395329536"/>
        <c:axId val="395319552"/>
      </c:stockChart>
      <c:dateAx>
        <c:axId val="395311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317632"/>
        <c:crosses val="autoZero"/>
        <c:auto val="1"/>
        <c:lblOffset val="100"/>
        <c:baseTimeUnit val="days"/>
      </c:dateAx>
      <c:valAx>
        <c:axId val="395317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311360"/>
        <c:crosses val="autoZero"/>
        <c:crossBetween val="between"/>
      </c:valAx>
      <c:valAx>
        <c:axId val="395319552"/>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329536"/>
        <c:crosses val="max"/>
        <c:crossBetween val="between"/>
      </c:valAx>
      <c:dateAx>
        <c:axId val="395329536"/>
        <c:scaling>
          <c:orientation val="minMax"/>
        </c:scaling>
        <c:delete val="1"/>
        <c:axPos val="t"/>
        <c:numFmt formatCode="m/d/yyyy" sourceLinked="1"/>
        <c:majorTickMark val="out"/>
        <c:minorTickMark val="none"/>
        <c:tickLblPos val="nextTo"/>
        <c:crossAx val="395319552"/>
        <c:crosses val="max"/>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COMBINED</a:t>
            </a:r>
            <a:r>
              <a:rPr lang="en-US" baseline="0"/>
              <a:t> 5 YEAR MONTHLY </a:t>
            </a:r>
            <a:endParaRPr lang="en-US"/>
          </a:p>
        </c:rich>
      </c:tx>
      <c:overlay val="0"/>
      <c:spPr>
        <a:noFill/>
        <a:ln>
          <a:noFill/>
        </a:ln>
        <a:effectLst/>
      </c:spPr>
    </c:title>
    <c:autoTitleDeleted val="0"/>
    <c:plotArea>
      <c:layout/>
      <c:lineChart>
        <c:grouping val="standard"/>
        <c:varyColors val="0"/>
        <c:ser>
          <c:idx val="0"/>
          <c:order val="0"/>
          <c:tx>
            <c:strRef>
              <c:f>[STOCK_CHARTS_BADM1030.xlsm]COMBINED!$B$1</c:f>
              <c:strCache>
                <c:ptCount val="1"/>
                <c:pt idx="0">
                  <c:v>DJ High</c:v>
                </c:pt>
              </c:strCache>
            </c:strRef>
          </c:tx>
          <c:spPr>
            <a:ln w="28575" cap="rnd">
              <a:solidFill>
                <a:schemeClr val="accent1"/>
              </a:solidFill>
              <a:round/>
            </a:ln>
            <a:effectLst/>
          </c:spPr>
          <c:marker>
            <c:symbol val="none"/>
          </c:marker>
          <c:cat>
            <c:numRef>
              <c:f>[STOCK_CHARTS_BADM1030.xlsm]COMBINED!$A$2:$A$62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[STOCK_CHARTS_BADM1030.xlsm]COMBINED!$B$2:$B$62</c:f>
              <c:numCache>
                <c:formatCode>General</c:formatCode>
                <c:ptCount val="61"/>
                <c:pt idx="0">
                  <c:v>17151.560547000001</c:v>
                </c:pt>
                <c:pt idx="1">
                  <c:v>17153.800781000002</c:v>
                </c:pt>
                <c:pt idx="2">
                  <c:v>17350.640625</c:v>
                </c:pt>
                <c:pt idx="3">
                  <c:v>17395.539063</c:v>
                </c:pt>
                <c:pt idx="4">
                  <c:v>17894.830077999999</c:v>
                </c:pt>
                <c:pt idx="5">
                  <c:v>18103.449218999998</c:v>
                </c:pt>
                <c:pt idx="6">
                  <c:v>17951.779297000001</c:v>
                </c:pt>
                <c:pt idx="7">
                  <c:v>18244.380859000001</c:v>
                </c:pt>
                <c:pt idx="8">
                  <c:v>18288.630859000001</c:v>
                </c:pt>
                <c:pt idx="9">
                  <c:v>18175.560547000001</c:v>
                </c:pt>
                <c:pt idx="10">
                  <c:v>18351.359375</c:v>
                </c:pt>
                <c:pt idx="11">
                  <c:v>18188.810547000001</c:v>
                </c:pt>
                <c:pt idx="12">
                  <c:v>18137.119140999999</c:v>
                </c:pt>
                <c:pt idx="13">
                  <c:v>17704.759765999999</c:v>
                </c:pt>
                <c:pt idx="14">
                  <c:v>16933.429688</c:v>
                </c:pt>
                <c:pt idx="15">
                  <c:v>17799.960938</c:v>
                </c:pt>
                <c:pt idx="16">
                  <c:v>17977.849609000001</c:v>
                </c:pt>
                <c:pt idx="17">
                  <c:v>17901.580077999999</c:v>
                </c:pt>
                <c:pt idx="18">
                  <c:v>17405.480468999998</c:v>
                </c:pt>
                <c:pt idx="19">
                  <c:v>16795.980468999998</c:v>
                </c:pt>
                <c:pt idx="20">
                  <c:v>17790.109375</c:v>
                </c:pt>
                <c:pt idx="21">
                  <c:v>18167.630859000001</c:v>
                </c:pt>
                <c:pt idx="22">
                  <c:v>17934.609375</c:v>
                </c:pt>
                <c:pt idx="23">
                  <c:v>18016</c:v>
                </c:pt>
                <c:pt idx="24">
                  <c:v>18622.009765999999</c:v>
                </c:pt>
                <c:pt idx="25">
                  <c:v>18722.609375</c:v>
                </c:pt>
                <c:pt idx="26">
                  <c:v>18551.539063</c:v>
                </c:pt>
                <c:pt idx="27">
                  <c:v>18399.960938</c:v>
                </c:pt>
                <c:pt idx="28">
                  <c:v>19225.289063</c:v>
                </c:pt>
                <c:pt idx="29">
                  <c:v>19987.630859000001</c:v>
                </c:pt>
                <c:pt idx="30">
                  <c:v>20125.580077999999</c:v>
                </c:pt>
                <c:pt idx="31">
                  <c:v>20851.330077999999</c:v>
                </c:pt>
                <c:pt idx="32">
                  <c:v>21169.109375</c:v>
                </c:pt>
                <c:pt idx="33">
                  <c:v>21070.900390999999</c:v>
                </c:pt>
                <c:pt idx="34">
                  <c:v>21112.320313</c:v>
                </c:pt>
                <c:pt idx="35">
                  <c:v>21535.029297000001</c:v>
                </c:pt>
                <c:pt idx="36">
                  <c:v>21929.800781000002</c:v>
                </c:pt>
                <c:pt idx="37">
                  <c:v>22179.109375</c:v>
                </c:pt>
                <c:pt idx="38">
                  <c:v>22419.509765999999</c:v>
                </c:pt>
                <c:pt idx="39">
                  <c:v>23485.25</c:v>
                </c:pt>
                <c:pt idx="40">
                  <c:v>24327.820313</c:v>
                </c:pt>
                <c:pt idx="41">
                  <c:v>24876.070313</c:v>
                </c:pt>
                <c:pt idx="42">
                  <c:v>26616.710938</c:v>
                </c:pt>
                <c:pt idx="43">
                  <c:v>26306.699218999998</c:v>
                </c:pt>
                <c:pt idx="44">
                  <c:v>25449.150390999999</c:v>
                </c:pt>
                <c:pt idx="45">
                  <c:v>24858.970702999999</c:v>
                </c:pt>
                <c:pt idx="46">
                  <c:v>25086.490234000001</c:v>
                </c:pt>
                <c:pt idx="47">
                  <c:v>25402.830077999999</c:v>
                </c:pt>
                <c:pt idx="48">
                  <c:v>25587.240234000001</c:v>
                </c:pt>
                <c:pt idx="49">
                  <c:v>26167.939452999999</c:v>
                </c:pt>
                <c:pt idx="50">
                  <c:v>26769.160156000002</c:v>
                </c:pt>
                <c:pt idx="51">
                  <c:v>26951.810547000001</c:v>
                </c:pt>
                <c:pt idx="52">
                  <c:v>26277.820313</c:v>
                </c:pt>
                <c:pt idx="53">
                  <c:v>25980.210938</c:v>
                </c:pt>
                <c:pt idx="54">
                  <c:v>25109.619140999999</c:v>
                </c:pt>
                <c:pt idx="55">
                  <c:v>26241.419922000001</c:v>
                </c:pt>
                <c:pt idx="56">
                  <c:v>26155.980468999998</c:v>
                </c:pt>
                <c:pt idx="57">
                  <c:v>26695.960938</c:v>
                </c:pt>
                <c:pt idx="58">
                  <c:v>26689.390625</c:v>
                </c:pt>
                <c:pt idx="59">
                  <c:v>26907.369140999999</c:v>
                </c:pt>
                <c:pt idx="60">
                  <c:v>27398.679688</c:v>
                </c:pt>
              </c:numCache>
            </c:numRef>
          </c:val>
          <c:smooth val="0"/>
        </c:ser>
        <c:ser>
          <c:idx val="1"/>
          <c:order val="1"/>
          <c:tx>
            <c:strRef>
              <c:f>[STOCK_CHARTS_BADM1030.xlsm]COMBINED!$C$1</c:f>
              <c:strCache>
                <c:ptCount val="1"/>
                <c:pt idx="0">
                  <c:v>DJ Low</c:v>
                </c:pt>
              </c:strCache>
            </c:strRef>
          </c:tx>
          <c:spPr>
            <a:ln w="28575" cap="rnd">
              <a:solidFill>
                <a:schemeClr val="accent2"/>
              </a:solidFill>
              <a:round/>
            </a:ln>
            <a:effectLst/>
          </c:spPr>
          <c:marker>
            <c:symbol val="none"/>
          </c:marker>
          <c:cat>
            <c:numRef>
              <c:f>[STOCK_CHARTS_BADM1030.xlsm]COMBINED!$A$2:$A$62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[STOCK_CHARTS_BADM1030.xlsm]COMBINED!$C$2:$C$62</c:f>
              <c:numCache>
                <c:formatCode>General</c:formatCode>
                <c:ptCount val="61"/>
                <c:pt idx="0">
                  <c:v>16563.300781000002</c:v>
                </c:pt>
                <c:pt idx="1">
                  <c:v>16333.780273</c:v>
                </c:pt>
                <c:pt idx="2">
                  <c:v>16934.429688</c:v>
                </c:pt>
                <c:pt idx="3">
                  <c:v>15855.120117</c:v>
                </c:pt>
                <c:pt idx="4">
                  <c:v>17278.359375</c:v>
                </c:pt>
                <c:pt idx="5">
                  <c:v>17067.589843999998</c:v>
                </c:pt>
                <c:pt idx="6">
                  <c:v>17136.300781000002</c:v>
                </c:pt>
                <c:pt idx="7">
                  <c:v>17037.759765999999</c:v>
                </c:pt>
                <c:pt idx="8">
                  <c:v>17579.269531000002</c:v>
                </c:pt>
                <c:pt idx="9">
                  <c:v>17585.009765999999</c:v>
                </c:pt>
                <c:pt idx="10">
                  <c:v>17733.119140999999</c:v>
                </c:pt>
                <c:pt idx="11">
                  <c:v>17576.5</c:v>
                </c:pt>
                <c:pt idx="12">
                  <c:v>17399.169922000001</c:v>
                </c:pt>
                <c:pt idx="13">
                  <c:v>15370.330078000001</c:v>
                </c:pt>
                <c:pt idx="14">
                  <c:v>15942.370117</c:v>
                </c:pt>
                <c:pt idx="15">
                  <c:v>16013.660156</c:v>
                </c:pt>
                <c:pt idx="16">
                  <c:v>17210.429688</c:v>
                </c:pt>
                <c:pt idx="17">
                  <c:v>17116.730468999998</c:v>
                </c:pt>
                <c:pt idx="18">
                  <c:v>15450.559569999999</c:v>
                </c:pt>
                <c:pt idx="19">
                  <c:v>15503.009765999999</c:v>
                </c:pt>
                <c:pt idx="20">
                  <c:v>16545.669922000001</c:v>
                </c:pt>
                <c:pt idx="21">
                  <c:v>17484.230468999998</c:v>
                </c:pt>
                <c:pt idx="22">
                  <c:v>17331.070313</c:v>
                </c:pt>
                <c:pt idx="23">
                  <c:v>17063.080077999999</c:v>
                </c:pt>
                <c:pt idx="24">
                  <c:v>17713.449218999998</c:v>
                </c:pt>
                <c:pt idx="25">
                  <c:v>18247.789063</c:v>
                </c:pt>
                <c:pt idx="26">
                  <c:v>17992.210938</c:v>
                </c:pt>
                <c:pt idx="27">
                  <c:v>17959.949218999998</c:v>
                </c:pt>
                <c:pt idx="28">
                  <c:v>17883.560547000001</c:v>
                </c:pt>
                <c:pt idx="29">
                  <c:v>19138.789063</c:v>
                </c:pt>
                <c:pt idx="30">
                  <c:v>19677.939452999999</c:v>
                </c:pt>
                <c:pt idx="31">
                  <c:v>19831.089843999998</c:v>
                </c:pt>
                <c:pt idx="32">
                  <c:v>20412.800781000002</c:v>
                </c:pt>
                <c:pt idx="33">
                  <c:v>20379.550781000002</c:v>
                </c:pt>
                <c:pt idx="34">
                  <c:v>20553.449218999998</c:v>
                </c:pt>
                <c:pt idx="35">
                  <c:v>20994.220702999999</c:v>
                </c:pt>
                <c:pt idx="36">
                  <c:v>21279.300781000002</c:v>
                </c:pt>
                <c:pt idx="37">
                  <c:v>21600.339843999998</c:v>
                </c:pt>
                <c:pt idx="38">
                  <c:v>21709.630859000001</c:v>
                </c:pt>
                <c:pt idx="39">
                  <c:v>22416</c:v>
                </c:pt>
                <c:pt idx="40">
                  <c:v>23242.75</c:v>
                </c:pt>
                <c:pt idx="41">
                  <c:v>23921.900390999999</c:v>
                </c:pt>
                <c:pt idx="42">
                  <c:v>24741.699218999998</c:v>
                </c:pt>
                <c:pt idx="43">
                  <c:v>23360.289063</c:v>
                </c:pt>
                <c:pt idx="44">
                  <c:v>23509.060547000001</c:v>
                </c:pt>
                <c:pt idx="45">
                  <c:v>23344.519531000002</c:v>
                </c:pt>
                <c:pt idx="46">
                  <c:v>23531.310547000001</c:v>
                </c:pt>
                <c:pt idx="47">
                  <c:v>23997.210938</c:v>
                </c:pt>
                <c:pt idx="48">
                  <c:v>24077.560547000001</c:v>
                </c:pt>
                <c:pt idx="49">
                  <c:v>24965.769531000002</c:v>
                </c:pt>
                <c:pt idx="50">
                  <c:v>25754.320313</c:v>
                </c:pt>
                <c:pt idx="51">
                  <c:v>24122.230468999998</c:v>
                </c:pt>
                <c:pt idx="52">
                  <c:v>24268.740234000001</c:v>
                </c:pt>
                <c:pt idx="53">
                  <c:v>21712.529297000001</c:v>
                </c:pt>
                <c:pt idx="54">
                  <c:v>22638.410156000002</c:v>
                </c:pt>
                <c:pt idx="55">
                  <c:v>24883.039063</c:v>
                </c:pt>
                <c:pt idx="56">
                  <c:v>25208</c:v>
                </c:pt>
                <c:pt idx="57">
                  <c:v>26062.589843999998</c:v>
                </c:pt>
                <c:pt idx="58">
                  <c:v>24809.509765999999</c:v>
                </c:pt>
                <c:pt idx="59">
                  <c:v>24680.570313</c:v>
                </c:pt>
                <c:pt idx="60">
                  <c:v>26616.210938</c:v>
                </c:pt>
              </c:numCache>
            </c:numRef>
          </c:val>
          <c:smooth val="0"/>
        </c:ser>
        <c:ser>
          <c:idx val="2"/>
          <c:order val="2"/>
          <c:tx>
            <c:strRef>
              <c:f>[STOCK_CHARTS_BADM1030.xlsm]COMBINED!$D$1</c:f>
              <c:strCache>
                <c:ptCount val="1"/>
                <c:pt idx="0">
                  <c:v>WM High</c:v>
                </c:pt>
              </c:strCache>
            </c:strRef>
          </c:tx>
          <c:spPr>
            <a:ln w="28575" cap="rnd">
              <a:solidFill>
                <a:schemeClr val="accent3"/>
              </a:solidFill>
              <a:round/>
            </a:ln>
            <a:effectLst/>
          </c:spPr>
          <c:marker>
            <c:symbol val="none"/>
          </c:marker>
          <c:cat>
            <c:numRef>
              <c:f>[STOCK_CHARTS_BADM1030.xlsm]COMBINED!$A$2:$A$62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[STOCK_CHARTS_BADM1030.xlsm]COMBINED!$D$2:$D$62</c:f>
              <c:numCache>
                <c:formatCode>General</c:formatCode>
                <c:ptCount val="61"/>
                <c:pt idx="0">
                  <c:v>45.689999</c:v>
                </c:pt>
                <c:pt idx="1">
                  <c:v>47.349997999999999</c:v>
                </c:pt>
                <c:pt idx="2">
                  <c:v>47.689999</c:v>
                </c:pt>
                <c:pt idx="3">
                  <c:v>49.18</c:v>
                </c:pt>
                <c:pt idx="4">
                  <c:v>49.709999000000003</c:v>
                </c:pt>
                <c:pt idx="5">
                  <c:v>51.950001</c:v>
                </c:pt>
                <c:pt idx="6">
                  <c:v>53.490001999999997</c:v>
                </c:pt>
                <c:pt idx="7">
                  <c:v>54.84</c:v>
                </c:pt>
                <c:pt idx="8">
                  <c:v>55.310001</c:v>
                </c:pt>
                <c:pt idx="9">
                  <c:v>55.93</c:v>
                </c:pt>
                <c:pt idx="10">
                  <c:v>50.450001</c:v>
                </c:pt>
                <c:pt idx="11">
                  <c:v>49.91</c:v>
                </c:pt>
                <c:pt idx="12">
                  <c:v>51.459999000000003</c:v>
                </c:pt>
                <c:pt idx="13">
                  <c:v>53.060001</c:v>
                </c:pt>
                <c:pt idx="14">
                  <c:v>51.18</c:v>
                </c:pt>
                <c:pt idx="15">
                  <c:v>54.849997999999999</c:v>
                </c:pt>
                <c:pt idx="16">
                  <c:v>55.279998999999997</c:v>
                </c:pt>
                <c:pt idx="17">
                  <c:v>54.57</c:v>
                </c:pt>
                <c:pt idx="18">
                  <c:v>53.349997999999999</c:v>
                </c:pt>
                <c:pt idx="19">
                  <c:v>56.799999</c:v>
                </c:pt>
                <c:pt idx="20">
                  <c:v>59.990001999999997</c:v>
                </c:pt>
                <c:pt idx="21">
                  <c:v>59.27</c:v>
                </c:pt>
                <c:pt idx="22">
                  <c:v>62.049999</c:v>
                </c:pt>
                <c:pt idx="23">
                  <c:v>66.269997000000004</c:v>
                </c:pt>
                <c:pt idx="24">
                  <c:v>70.5</c:v>
                </c:pt>
                <c:pt idx="25">
                  <c:v>67.239998</c:v>
                </c:pt>
                <c:pt idx="26">
                  <c:v>64.839995999999999</c:v>
                </c:pt>
                <c:pt idx="27">
                  <c:v>65.870002999999997</c:v>
                </c:pt>
                <c:pt idx="28">
                  <c:v>70.669998000000007</c:v>
                </c:pt>
                <c:pt idx="29">
                  <c:v>71.779999000000004</c:v>
                </c:pt>
                <c:pt idx="30">
                  <c:v>71.279999000000004</c:v>
                </c:pt>
                <c:pt idx="31">
                  <c:v>73.529999000000004</c:v>
                </c:pt>
                <c:pt idx="32">
                  <c:v>73.900002000000001</c:v>
                </c:pt>
                <c:pt idx="33">
                  <c:v>74.580001999999993</c:v>
                </c:pt>
                <c:pt idx="34">
                  <c:v>73.620002999999997</c:v>
                </c:pt>
                <c:pt idx="35">
                  <c:v>74.519997000000004</c:v>
                </c:pt>
                <c:pt idx="36">
                  <c:v>76</c:v>
                </c:pt>
                <c:pt idx="37">
                  <c:v>77.180000000000007</c:v>
                </c:pt>
                <c:pt idx="38">
                  <c:v>78.819999999999993</c:v>
                </c:pt>
                <c:pt idx="39">
                  <c:v>82.870002999999997</c:v>
                </c:pt>
                <c:pt idx="40">
                  <c:v>82.970000999999996</c:v>
                </c:pt>
                <c:pt idx="41">
                  <c:v>86.889999000000003</c:v>
                </c:pt>
                <c:pt idx="42">
                  <c:v>89.730002999999996</c:v>
                </c:pt>
                <c:pt idx="43">
                  <c:v>88.639999000000003</c:v>
                </c:pt>
                <c:pt idx="44">
                  <c:v>87.379997000000003</c:v>
                </c:pt>
                <c:pt idx="45">
                  <c:v>86.330001999999993</c:v>
                </c:pt>
                <c:pt idx="46">
                  <c:v>84.400002000000001</c:v>
                </c:pt>
                <c:pt idx="47">
                  <c:v>84.43</c:v>
                </c:pt>
                <c:pt idx="48">
                  <c:v>90.099997999999999</c:v>
                </c:pt>
                <c:pt idx="49">
                  <c:v>91.639999000000003</c:v>
                </c:pt>
                <c:pt idx="50">
                  <c:v>92.849997999999999</c:v>
                </c:pt>
                <c:pt idx="51">
                  <c:v>91.660004000000001</c:v>
                </c:pt>
                <c:pt idx="52">
                  <c:v>94.080001999999993</c:v>
                </c:pt>
                <c:pt idx="53">
                  <c:v>95.489998</c:v>
                </c:pt>
                <c:pt idx="54">
                  <c:v>96.150002000000001</c:v>
                </c:pt>
                <c:pt idx="55">
                  <c:v>101.349998</c:v>
                </c:pt>
                <c:pt idx="56">
                  <c:v>104</c:v>
                </c:pt>
                <c:pt idx="57">
                  <c:v>107.449997</c:v>
                </c:pt>
                <c:pt idx="58">
                  <c:v>109.989998</c:v>
                </c:pt>
                <c:pt idx="59">
                  <c:v>117.339996</c:v>
                </c:pt>
                <c:pt idx="60">
                  <c:v>118.889999</c:v>
                </c:pt>
              </c:numCache>
            </c:numRef>
          </c:val>
          <c:smooth val="0"/>
        </c:ser>
        <c:ser>
          <c:idx val="3"/>
          <c:order val="3"/>
          <c:tx>
            <c:strRef>
              <c:f>[STOCK_CHARTS_BADM1030.xlsm]COMBINED!$E$1</c:f>
              <c:strCache>
                <c:ptCount val="1"/>
                <c:pt idx="0">
                  <c:v>WM Low</c:v>
                </c:pt>
              </c:strCache>
            </c:strRef>
          </c:tx>
          <c:spPr>
            <a:ln w="28575" cap="rnd">
              <a:solidFill>
                <a:schemeClr val="accent4"/>
              </a:solidFill>
              <a:round/>
            </a:ln>
            <a:effectLst/>
          </c:spPr>
          <c:marker>
            <c:symbol val="none"/>
          </c:marker>
          <c:cat>
            <c:numRef>
              <c:f>[STOCK_CHARTS_BADM1030.xlsm]COMBINED!$A$2:$A$62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[STOCK_CHARTS_BADM1030.xlsm]COMBINED!$E$2:$E$62</c:f>
              <c:numCache>
                <c:formatCode>General</c:formatCode>
                <c:ptCount val="61"/>
                <c:pt idx="0">
                  <c:v>43.490001999999997</c:v>
                </c:pt>
                <c:pt idx="1">
                  <c:v>43.970001000000003</c:v>
                </c:pt>
                <c:pt idx="2">
                  <c:v>46.509998000000003</c:v>
                </c:pt>
                <c:pt idx="3">
                  <c:v>45.5</c:v>
                </c:pt>
                <c:pt idx="4">
                  <c:v>48.200001</c:v>
                </c:pt>
                <c:pt idx="5">
                  <c:v>48.290000999999997</c:v>
                </c:pt>
                <c:pt idx="6">
                  <c:v>50.860000999999997</c:v>
                </c:pt>
                <c:pt idx="7">
                  <c:v>50.669998</c:v>
                </c:pt>
                <c:pt idx="8">
                  <c:v>52.669998</c:v>
                </c:pt>
                <c:pt idx="9">
                  <c:v>49.43</c:v>
                </c:pt>
                <c:pt idx="10">
                  <c:v>48.09</c:v>
                </c:pt>
                <c:pt idx="11">
                  <c:v>46.310001</c:v>
                </c:pt>
                <c:pt idx="12">
                  <c:v>45.860000999999997</c:v>
                </c:pt>
                <c:pt idx="13">
                  <c:v>48.790000999999997</c:v>
                </c:pt>
                <c:pt idx="14">
                  <c:v>48.900002000000001</c:v>
                </c:pt>
                <c:pt idx="15">
                  <c:v>49.490001999999997</c:v>
                </c:pt>
                <c:pt idx="16">
                  <c:v>52.02</c:v>
                </c:pt>
                <c:pt idx="17">
                  <c:v>51.080002</c:v>
                </c:pt>
                <c:pt idx="18">
                  <c:v>50.360000999999997</c:v>
                </c:pt>
                <c:pt idx="19">
                  <c:v>51.68</c:v>
                </c:pt>
                <c:pt idx="20">
                  <c:v>56.060001</c:v>
                </c:pt>
                <c:pt idx="21">
                  <c:v>56.049999</c:v>
                </c:pt>
                <c:pt idx="22">
                  <c:v>58.93</c:v>
                </c:pt>
                <c:pt idx="23">
                  <c:v>60.59</c:v>
                </c:pt>
                <c:pt idx="24">
                  <c:v>65.650002000000001</c:v>
                </c:pt>
                <c:pt idx="25">
                  <c:v>63.610000999999997</c:v>
                </c:pt>
                <c:pt idx="26">
                  <c:v>62.41</c:v>
                </c:pt>
                <c:pt idx="27">
                  <c:v>61.080002</c:v>
                </c:pt>
                <c:pt idx="28">
                  <c:v>63.189999</c:v>
                </c:pt>
                <c:pt idx="29">
                  <c:v>68.839995999999999</c:v>
                </c:pt>
                <c:pt idx="30">
                  <c:v>69</c:v>
                </c:pt>
                <c:pt idx="31">
                  <c:v>69</c:v>
                </c:pt>
                <c:pt idx="32">
                  <c:v>71.529999000000004</c:v>
                </c:pt>
                <c:pt idx="33">
                  <c:v>71.910004000000001</c:v>
                </c:pt>
                <c:pt idx="34">
                  <c:v>70.080001999999993</c:v>
                </c:pt>
                <c:pt idx="35">
                  <c:v>72.239998</c:v>
                </c:pt>
                <c:pt idx="36">
                  <c:v>73.180000000000007</c:v>
                </c:pt>
                <c:pt idx="37">
                  <c:v>74.610000999999997</c:v>
                </c:pt>
                <c:pt idx="38">
                  <c:v>75.720000999999996</c:v>
                </c:pt>
                <c:pt idx="39">
                  <c:v>75.860000999999997</c:v>
                </c:pt>
                <c:pt idx="40">
                  <c:v>78.330001999999993</c:v>
                </c:pt>
                <c:pt idx="41">
                  <c:v>80.819999999999993</c:v>
                </c:pt>
                <c:pt idx="42">
                  <c:v>85.550003000000004</c:v>
                </c:pt>
                <c:pt idx="43">
                  <c:v>78.389999000000003</c:v>
                </c:pt>
                <c:pt idx="44">
                  <c:v>82.720000999999996</c:v>
                </c:pt>
                <c:pt idx="45">
                  <c:v>80.910004000000001</c:v>
                </c:pt>
                <c:pt idx="46">
                  <c:v>80.669998000000007</c:v>
                </c:pt>
                <c:pt idx="47">
                  <c:v>79.959998999999996</c:v>
                </c:pt>
                <c:pt idx="48">
                  <c:v>80.879997000000003</c:v>
                </c:pt>
                <c:pt idx="49">
                  <c:v>88.540001000000004</c:v>
                </c:pt>
                <c:pt idx="50">
                  <c:v>89.650002000000001</c:v>
                </c:pt>
                <c:pt idx="51">
                  <c:v>83.220000999999996</c:v>
                </c:pt>
                <c:pt idx="52">
                  <c:v>86.370002999999997</c:v>
                </c:pt>
                <c:pt idx="53">
                  <c:v>83.489998</c:v>
                </c:pt>
                <c:pt idx="54">
                  <c:v>87.32</c:v>
                </c:pt>
                <c:pt idx="55">
                  <c:v>94.879997000000003</c:v>
                </c:pt>
                <c:pt idx="56">
                  <c:v>98.190002000000007</c:v>
                </c:pt>
                <c:pt idx="57">
                  <c:v>97.550003000000004</c:v>
                </c:pt>
                <c:pt idx="58">
                  <c:v>103.839996</c:v>
                </c:pt>
                <c:pt idx="59">
                  <c:v>110.25</c:v>
                </c:pt>
                <c:pt idx="60">
                  <c:v>114.44000200000001</c:v>
                </c:pt>
              </c:numCache>
            </c:numRef>
          </c:val>
          <c:smooth val="0"/>
        </c:ser>
        <c:ser>
          <c:idx val="4"/>
          <c:order val="4"/>
          <c:tx>
            <c:strRef>
              <c:f>[STOCK_CHARTS_BADM1030.xlsm]COMBINED!$F$1</c:f>
              <c:strCache>
                <c:ptCount val="1"/>
                <c:pt idx="0">
                  <c:v>RS High</c:v>
                </c:pt>
              </c:strCache>
            </c:strRef>
          </c:tx>
          <c:spPr>
            <a:ln w="28575" cap="rnd">
              <a:solidFill>
                <a:schemeClr val="accent5"/>
              </a:solidFill>
              <a:round/>
            </a:ln>
            <a:effectLst/>
          </c:spPr>
          <c:marker>
            <c:symbol val="none"/>
          </c:marker>
          <c:cat>
            <c:numRef>
              <c:f>[STOCK_CHARTS_BADM1030.xlsm]COMBINED!$A$2:$A$62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[STOCK_CHARTS_BADM1030.xlsm]COMBINED!$F$2:$F$62</c:f>
              <c:numCache>
                <c:formatCode>General</c:formatCode>
                <c:ptCount val="61"/>
                <c:pt idx="0">
                  <c:v>38.389999000000003</c:v>
                </c:pt>
                <c:pt idx="1">
                  <c:v>39.659999999999997</c:v>
                </c:pt>
                <c:pt idx="2">
                  <c:v>39.599997999999999</c:v>
                </c:pt>
                <c:pt idx="3">
                  <c:v>39.970001000000003</c:v>
                </c:pt>
                <c:pt idx="4">
                  <c:v>39.970001000000003</c:v>
                </c:pt>
                <c:pt idx="5">
                  <c:v>41.119999</c:v>
                </c:pt>
                <c:pt idx="6">
                  <c:v>41.740001999999997</c:v>
                </c:pt>
                <c:pt idx="7">
                  <c:v>41.209999000000003</c:v>
                </c:pt>
                <c:pt idx="8">
                  <c:v>42.049999</c:v>
                </c:pt>
                <c:pt idx="9">
                  <c:v>41.459999000000003</c:v>
                </c:pt>
                <c:pt idx="10">
                  <c:v>41.02</c:v>
                </c:pt>
                <c:pt idx="11">
                  <c:v>40.98</c:v>
                </c:pt>
                <c:pt idx="12">
                  <c:v>42.98</c:v>
                </c:pt>
                <c:pt idx="13">
                  <c:v>43.709999000000003</c:v>
                </c:pt>
                <c:pt idx="14">
                  <c:v>41.860000999999997</c:v>
                </c:pt>
                <c:pt idx="15">
                  <c:v>44.900002000000001</c:v>
                </c:pt>
                <c:pt idx="16">
                  <c:v>44.59</c:v>
                </c:pt>
                <c:pt idx="17">
                  <c:v>45.349997999999999</c:v>
                </c:pt>
                <c:pt idx="18">
                  <c:v>44.880001</c:v>
                </c:pt>
                <c:pt idx="19">
                  <c:v>46.619999</c:v>
                </c:pt>
                <c:pt idx="20">
                  <c:v>48.759998000000003</c:v>
                </c:pt>
                <c:pt idx="21">
                  <c:v>48.290000999999997</c:v>
                </c:pt>
                <c:pt idx="22">
                  <c:v>48.959999000000003</c:v>
                </c:pt>
                <c:pt idx="23">
                  <c:v>51.310001</c:v>
                </c:pt>
                <c:pt idx="24">
                  <c:v>52.919998</c:v>
                </c:pt>
                <c:pt idx="25">
                  <c:v>52.02</c:v>
                </c:pt>
                <c:pt idx="26">
                  <c:v>51.59</c:v>
                </c:pt>
                <c:pt idx="27">
                  <c:v>52.77</c:v>
                </c:pt>
                <c:pt idx="28">
                  <c:v>56.02</c:v>
                </c:pt>
                <c:pt idx="29">
                  <c:v>58</c:v>
                </c:pt>
                <c:pt idx="30">
                  <c:v>58.080002</c:v>
                </c:pt>
                <c:pt idx="31">
                  <c:v>62</c:v>
                </c:pt>
                <c:pt idx="32">
                  <c:v>63.84</c:v>
                </c:pt>
                <c:pt idx="33">
                  <c:v>64.110000999999997</c:v>
                </c:pt>
                <c:pt idx="34">
                  <c:v>63.73</c:v>
                </c:pt>
                <c:pt idx="35">
                  <c:v>65.339995999999999</c:v>
                </c:pt>
                <c:pt idx="36">
                  <c:v>65.540001000000004</c:v>
                </c:pt>
                <c:pt idx="37">
                  <c:v>65.389999000000003</c:v>
                </c:pt>
                <c:pt idx="38">
                  <c:v>67.180000000000007</c:v>
                </c:pt>
                <c:pt idx="39">
                  <c:v>66.660004000000001</c:v>
                </c:pt>
                <c:pt idx="40">
                  <c:v>65.290001000000004</c:v>
                </c:pt>
                <c:pt idx="41">
                  <c:v>68</c:v>
                </c:pt>
                <c:pt idx="42">
                  <c:v>69.400002000000001</c:v>
                </c:pt>
                <c:pt idx="43">
                  <c:v>69</c:v>
                </c:pt>
                <c:pt idx="44">
                  <c:v>69.339995999999999</c:v>
                </c:pt>
                <c:pt idx="45">
                  <c:v>68.440002000000007</c:v>
                </c:pt>
                <c:pt idx="46">
                  <c:v>69.029999000000004</c:v>
                </c:pt>
                <c:pt idx="47">
                  <c:v>69.970000999999996</c:v>
                </c:pt>
                <c:pt idx="48">
                  <c:v>72.75</c:v>
                </c:pt>
                <c:pt idx="49">
                  <c:v>74.779999000000004</c:v>
                </c:pt>
                <c:pt idx="50">
                  <c:v>75.819999999999993</c:v>
                </c:pt>
                <c:pt idx="51">
                  <c:v>73.300003000000004</c:v>
                </c:pt>
                <c:pt idx="52">
                  <c:v>77.459998999999996</c:v>
                </c:pt>
                <c:pt idx="53">
                  <c:v>78.540001000000004</c:v>
                </c:pt>
                <c:pt idx="54">
                  <c:v>77.089995999999999</c:v>
                </c:pt>
                <c:pt idx="55">
                  <c:v>78.550003000000004</c:v>
                </c:pt>
                <c:pt idx="56">
                  <c:v>81.199996999999996</c:v>
                </c:pt>
                <c:pt idx="57">
                  <c:v>82.870002999999997</c:v>
                </c:pt>
                <c:pt idx="58">
                  <c:v>85.400002000000001</c:v>
                </c:pt>
                <c:pt idx="59">
                  <c:v>87.779999000000004</c:v>
                </c:pt>
                <c:pt idx="60">
                  <c:v>88.360000999999997</c:v>
                </c:pt>
              </c:numCache>
            </c:numRef>
          </c:val>
          <c:smooth val="0"/>
        </c:ser>
        <c:ser>
          <c:idx val="5"/>
          <c:order val="5"/>
          <c:tx>
            <c:strRef>
              <c:f>[STOCK_CHARTS_BADM1030.xlsm]COMBINED!$G$1</c:f>
              <c:strCache>
                <c:ptCount val="1"/>
                <c:pt idx="0">
                  <c:v>RS Low</c:v>
                </c:pt>
              </c:strCache>
            </c:strRef>
          </c:tx>
          <c:spPr>
            <a:ln w="28575" cap="rnd">
              <a:solidFill>
                <a:schemeClr val="accent6"/>
              </a:solidFill>
              <a:round/>
            </a:ln>
            <a:effectLst/>
          </c:spPr>
          <c:marker>
            <c:symbol val="none"/>
          </c:marker>
          <c:cat>
            <c:numRef>
              <c:f>[STOCK_CHARTS_BADM1030.xlsm]COMBINED!$A$2:$A$62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[STOCK_CHARTS_BADM1030.xlsm]COMBINED!$G$2:$G$62</c:f>
              <c:numCache>
                <c:formatCode>General</c:formatCode>
                <c:ptCount val="61"/>
                <c:pt idx="0">
                  <c:v>36.720001000000003</c:v>
                </c:pt>
                <c:pt idx="1">
                  <c:v>37.509998000000003</c:v>
                </c:pt>
                <c:pt idx="2">
                  <c:v>38.520000000000003</c:v>
                </c:pt>
                <c:pt idx="3">
                  <c:v>37.18</c:v>
                </c:pt>
                <c:pt idx="4">
                  <c:v>37.549999</c:v>
                </c:pt>
                <c:pt idx="5">
                  <c:v>38.349997999999999</c:v>
                </c:pt>
                <c:pt idx="6">
                  <c:v>39.639999000000003</c:v>
                </c:pt>
                <c:pt idx="7">
                  <c:v>38.950001</c:v>
                </c:pt>
                <c:pt idx="8">
                  <c:v>39.939999</c:v>
                </c:pt>
                <c:pt idx="9">
                  <c:v>39.25</c:v>
                </c:pt>
                <c:pt idx="10">
                  <c:v>39.150002000000001</c:v>
                </c:pt>
                <c:pt idx="11">
                  <c:v>38.990001999999997</c:v>
                </c:pt>
                <c:pt idx="12">
                  <c:v>39.169998</c:v>
                </c:pt>
                <c:pt idx="13">
                  <c:v>39.479999999999997</c:v>
                </c:pt>
                <c:pt idx="14">
                  <c:v>39.830002</c:v>
                </c:pt>
                <c:pt idx="15">
                  <c:v>40.669998</c:v>
                </c:pt>
                <c:pt idx="16">
                  <c:v>42.77</c:v>
                </c:pt>
                <c:pt idx="17">
                  <c:v>42.73</c:v>
                </c:pt>
                <c:pt idx="18">
                  <c:v>41.82</c:v>
                </c:pt>
                <c:pt idx="19">
                  <c:v>42.560001</c:v>
                </c:pt>
                <c:pt idx="20">
                  <c:v>46</c:v>
                </c:pt>
                <c:pt idx="21">
                  <c:v>45.560001</c:v>
                </c:pt>
                <c:pt idx="22">
                  <c:v>46.790000999999997</c:v>
                </c:pt>
                <c:pt idx="23">
                  <c:v>47.950001</c:v>
                </c:pt>
                <c:pt idx="24">
                  <c:v>51.040000999999997</c:v>
                </c:pt>
                <c:pt idx="25">
                  <c:v>50.080002</c:v>
                </c:pt>
                <c:pt idx="26">
                  <c:v>49.419998</c:v>
                </c:pt>
                <c:pt idx="27">
                  <c:v>49.18</c:v>
                </c:pt>
                <c:pt idx="28">
                  <c:v>50.889999000000003</c:v>
                </c:pt>
                <c:pt idx="29">
                  <c:v>55.07</c:v>
                </c:pt>
                <c:pt idx="30">
                  <c:v>56.169998</c:v>
                </c:pt>
                <c:pt idx="31">
                  <c:v>56.830002</c:v>
                </c:pt>
                <c:pt idx="32">
                  <c:v>61.619999</c:v>
                </c:pt>
                <c:pt idx="33">
                  <c:v>62.119999</c:v>
                </c:pt>
                <c:pt idx="34">
                  <c:v>61.009998000000003</c:v>
                </c:pt>
                <c:pt idx="35">
                  <c:v>62.759998000000003</c:v>
                </c:pt>
                <c:pt idx="36">
                  <c:v>63.450001</c:v>
                </c:pt>
                <c:pt idx="37">
                  <c:v>63.610000999999997</c:v>
                </c:pt>
                <c:pt idx="38">
                  <c:v>64.430000000000007</c:v>
                </c:pt>
                <c:pt idx="39">
                  <c:v>62.459999000000003</c:v>
                </c:pt>
                <c:pt idx="40">
                  <c:v>62.049999</c:v>
                </c:pt>
                <c:pt idx="41">
                  <c:v>63.66</c:v>
                </c:pt>
                <c:pt idx="42">
                  <c:v>66.360000999999997</c:v>
                </c:pt>
                <c:pt idx="43">
                  <c:v>60.259998000000003</c:v>
                </c:pt>
                <c:pt idx="44">
                  <c:v>65.330001999999993</c:v>
                </c:pt>
                <c:pt idx="45">
                  <c:v>64.480002999999996</c:v>
                </c:pt>
                <c:pt idx="46">
                  <c:v>64.129997000000003</c:v>
                </c:pt>
                <c:pt idx="47">
                  <c:v>67.529999000000004</c:v>
                </c:pt>
                <c:pt idx="48">
                  <c:v>67.879997000000003</c:v>
                </c:pt>
                <c:pt idx="49">
                  <c:v>71.980002999999996</c:v>
                </c:pt>
                <c:pt idx="50">
                  <c:v>72.120002999999997</c:v>
                </c:pt>
                <c:pt idx="51">
                  <c:v>67.480002999999996</c:v>
                </c:pt>
                <c:pt idx="52">
                  <c:v>71.279999000000004</c:v>
                </c:pt>
                <c:pt idx="53">
                  <c:v>68.940002000000007</c:v>
                </c:pt>
                <c:pt idx="54">
                  <c:v>70.419998000000007</c:v>
                </c:pt>
                <c:pt idx="55">
                  <c:v>75.029999000000004</c:v>
                </c:pt>
                <c:pt idx="56">
                  <c:v>77.440002000000007</c:v>
                </c:pt>
                <c:pt idx="57">
                  <c:v>76.129997000000003</c:v>
                </c:pt>
                <c:pt idx="58">
                  <c:v>81.489998</c:v>
                </c:pt>
                <c:pt idx="59">
                  <c:v>84.120002999999997</c:v>
                </c:pt>
                <c:pt idx="60">
                  <c:v>86.18</c:v>
                </c:pt>
              </c:numCache>
            </c:numRef>
          </c:val>
          <c:smooth val="0"/>
        </c:ser>
        <c:dLbls>
          <c:showLegendKey val="0"/>
          <c:showVal val="0"/>
          <c:showCatName val="0"/>
          <c:showSerName val="0"/>
          <c:showPercent val="0"/>
          <c:showBubbleSize val="0"/>
        </c:dLbls>
        <c:marker val="1"/>
        <c:smooth val="0"/>
        <c:axId val="395354112"/>
        <c:axId val="395356032"/>
      </c:lineChart>
      <c:dateAx>
        <c:axId val="395354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356032"/>
        <c:crosses val="autoZero"/>
        <c:auto val="1"/>
        <c:lblOffset val="100"/>
        <c:baseTimeUnit val="months"/>
      </c:dateAx>
      <c:valAx>
        <c:axId val="395356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535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Waste</a:t>
            </a:r>
            <a:r>
              <a:rPr lang="en-US" baseline="0"/>
              <a:t> Management vs Republic Service</a:t>
            </a:r>
            <a:endParaRPr lang="en-US"/>
          </a:p>
        </c:rich>
      </c:tx>
      <c:overlay val="0"/>
      <c:spPr>
        <a:noFill/>
        <a:ln>
          <a:noFill/>
        </a:ln>
        <a:effectLst/>
      </c:spPr>
    </c:title>
    <c:autoTitleDeleted val="0"/>
    <c:plotArea>
      <c:layout/>
      <c:lineChart>
        <c:grouping val="standard"/>
        <c:varyColors val="0"/>
        <c:ser>
          <c:idx val="0"/>
          <c:order val="0"/>
          <c:tx>
            <c:strRef>
              <c:f>[STOCK_CHARTS_BADM1030.xlsm]Sheet1!$H$1</c:f>
              <c:strCache>
                <c:ptCount val="1"/>
                <c:pt idx="0">
                  <c:v>WM High</c:v>
                </c:pt>
              </c:strCache>
            </c:strRef>
          </c:tx>
          <c:spPr>
            <a:ln w="28575" cap="rnd">
              <a:solidFill>
                <a:schemeClr val="accent1"/>
              </a:solidFill>
              <a:round/>
            </a:ln>
            <a:effectLst/>
          </c:spPr>
          <c:marker>
            <c:symbol val="none"/>
          </c:marker>
          <c:cat>
            <c:numRef>
              <c:f>[STOCK_CHARTS_BADM1030.xlsm]Sheet1!$G$2:$G$62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[STOCK_CHARTS_BADM1030.xlsm]Sheet1!$H$2:$H$62</c:f>
              <c:numCache>
                <c:formatCode>General</c:formatCode>
                <c:ptCount val="61"/>
                <c:pt idx="0">
                  <c:v>45.689999</c:v>
                </c:pt>
                <c:pt idx="1">
                  <c:v>47.349997999999999</c:v>
                </c:pt>
                <c:pt idx="2">
                  <c:v>47.689999</c:v>
                </c:pt>
                <c:pt idx="3">
                  <c:v>49.18</c:v>
                </c:pt>
                <c:pt idx="4">
                  <c:v>49.709999000000003</c:v>
                </c:pt>
                <c:pt idx="5">
                  <c:v>51.950001</c:v>
                </c:pt>
                <c:pt idx="6">
                  <c:v>53.490001999999997</c:v>
                </c:pt>
                <c:pt idx="7">
                  <c:v>54.84</c:v>
                </c:pt>
                <c:pt idx="8">
                  <c:v>55.310001</c:v>
                </c:pt>
                <c:pt idx="9">
                  <c:v>55.93</c:v>
                </c:pt>
                <c:pt idx="10">
                  <c:v>50.450001</c:v>
                </c:pt>
                <c:pt idx="11">
                  <c:v>49.91</c:v>
                </c:pt>
                <c:pt idx="12">
                  <c:v>51.459999000000003</c:v>
                </c:pt>
                <c:pt idx="13">
                  <c:v>53.060001</c:v>
                </c:pt>
                <c:pt idx="14">
                  <c:v>51.18</c:v>
                </c:pt>
                <c:pt idx="15">
                  <c:v>54.849997999999999</c:v>
                </c:pt>
                <c:pt idx="16">
                  <c:v>55.279998999999997</c:v>
                </c:pt>
                <c:pt idx="17">
                  <c:v>54.57</c:v>
                </c:pt>
                <c:pt idx="18">
                  <c:v>53.349997999999999</c:v>
                </c:pt>
                <c:pt idx="19">
                  <c:v>56.799999</c:v>
                </c:pt>
                <c:pt idx="20">
                  <c:v>59.990001999999997</c:v>
                </c:pt>
                <c:pt idx="21">
                  <c:v>59.27</c:v>
                </c:pt>
                <c:pt idx="22">
                  <c:v>62.049999</c:v>
                </c:pt>
                <c:pt idx="23">
                  <c:v>66.269997000000004</c:v>
                </c:pt>
                <c:pt idx="24">
                  <c:v>70.5</c:v>
                </c:pt>
                <c:pt idx="25">
                  <c:v>67.239998</c:v>
                </c:pt>
                <c:pt idx="26">
                  <c:v>64.839995999999999</c:v>
                </c:pt>
                <c:pt idx="27">
                  <c:v>65.870002999999997</c:v>
                </c:pt>
                <c:pt idx="28">
                  <c:v>70.669998000000007</c:v>
                </c:pt>
                <c:pt idx="29">
                  <c:v>71.779999000000004</c:v>
                </c:pt>
                <c:pt idx="30">
                  <c:v>71.279999000000004</c:v>
                </c:pt>
                <c:pt idx="31">
                  <c:v>73.529999000000004</c:v>
                </c:pt>
                <c:pt idx="32">
                  <c:v>73.900002000000001</c:v>
                </c:pt>
                <c:pt idx="33">
                  <c:v>74.580001999999993</c:v>
                </c:pt>
                <c:pt idx="34">
                  <c:v>73.620002999999997</c:v>
                </c:pt>
                <c:pt idx="35">
                  <c:v>74.519997000000004</c:v>
                </c:pt>
                <c:pt idx="36">
                  <c:v>76</c:v>
                </c:pt>
                <c:pt idx="37">
                  <c:v>77.180000000000007</c:v>
                </c:pt>
                <c:pt idx="38">
                  <c:v>78.819999999999993</c:v>
                </c:pt>
                <c:pt idx="39">
                  <c:v>82.870002999999997</c:v>
                </c:pt>
                <c:pt idx="40">
                  <c:v>82.970000999999996</c:v>
                </c:pt>
                <c:pt idx="41">
                  <c:v>86.889999000000003</c:v>
                </c:pt>
                <c:pt idx="42">
                  <c:v>89.730002999999996</c:v>
                </c:pt>
                <c:pt idx="43">
                  <c:v>88.639999000000003</c:v>
                </c:pt>
                <c:pt idx="44">
                  <c:v>87.379997000000003</c:v>
                </c:pt>
                <c:pt idx="45">
                  <c:v>86.330001999999993</c:v>
                </c:pt>
                <c:pt idx="46">
                  <c:v>84.400002000000001</c:v>
                </c:pt>
                <c:pt idx="47">
                  <c:v>84.43</c:v>
                </c:pt>
                <c:pt idx="48">
                  <c:v>90.099997999999999</c:v>
                </c:pt>
                <c:pt idx="49">
                  <c:v>91.639999000000003</c:v>
                </c:pt>
                <c:pt idx="50">
                  <c:v>92.849997999999999</c:v>
                </c:pt>
                <c:pt idx="51">
                  <c:v>91.660004000000001</c:v>
                </c:pt>
                <c:pt idx="52">
                  <c:v>94.080001999999993</c:v>
                </c:pt>
                <c:pt idx="53">
                  <c:v>95.489998</c:v>
                </c:pt>
                <c:pt idx="54">
                  <c:v>96.150002000000001</c:v>
                </c:pt>
                <c:pt idx="55">
                  <c:v>101.349998</c:v>
                </c:pt>
                <c:pt idx="56">
                  <c:v>104</c:v>
                </c:pt>
                <c:pt idx="57">
                  <c:v>107.449997</c:v>
                </c:pt>
                <c:pt idx="58">
                  <c:v>109.989998</c:v>
                </c:pt>
                <c:pt idx="59">
                  <c:v>117.339996</c:v>
                </c:pt>
                <c:pt idx="60">
                  <c:v>118.889999</c:v>
                </c:pt>
              </c:numCache>
            </c:numRef>
          </c:val>
          <c:smooth val="0"/>
        </c:ser>
        <c:ser>
          <c:idx val="1"/>
          <c:order val="1"/>
          <c:tx>
            <c:strRef>
              <c:f>[STOCK_CHARTS_BADM1030.xlsm]Sheet1!$I$1</c:f>
              <c:strCache>
                <c:ptCount val="1"/>
                <c:pt idx="0">
                  <c:v>WM Low</c:v>
                </c:pt>
              </c:strCache>
            </c:strRef>
          </c:tx>
          <c:spPr>
            <a:ln w="28575" cap="rnd">
              <a:solidFill>
                <a:schemeClr val="accent2"/>
              </a:solidFill>
              <a:round/>
            </a:ln>
            <a:effectLst/>
          </c:spPr>
          <c:marker>
            <c:symbol val="none"/>
          </c:marker>
          <c:cat>
            <c:numRef>
              <c:f>[STOCK_CHARTS_BADM1030.xlsm]Sheet1!$G$2:$G$62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[STOCK_CHARTS_BADM1030.xlsm]Sheet1!$I$2:$I$62</c:f>
              <c:numCache>
                <c:formatCode>General</c:formatCode>
                <c:ptCount val="61"/>
                <c:pt idx="0">
                  <c:v>43.490001999999997</c:v>
                </c:pt>
                <c:pt idx="1">
                  <c:v>43.970001000000003</c:v>
                </c:pt>
                <c:pt idx="2">
                  <c:v>46.509998000000003</c:v>
                </c:pt>
                <c:pt idx="3">
                  <c:v>45.5</c:v>
                </c:pt>
                <c:pt idx="4">
                  <c:v>48.200001</c:v>
                </c:pt>
                <c:pt idx="5">
                  <c:v>48.290000999999997</c:v>
                </c:pt>
                <c:pt idx="6">
                  <c:v>50.860000999999997</c:v>
                </c:pt>
                <c:pt idx="7">
                  <c:v>50.669998</c:v>
                </c:pt>
                <c:pt idx="8">
                  <c:v>52.669998</c:v>
                </c:pt>
                <c:pt idx="9">
                  <c:v>49.43</c:v>
                </c:pt>
                <c:pt idx="10">
                  <c:v>48.09</c:v>
                </c:pt>
                <c:pt idx="11">
                  <c:v>46.310001</c:v>
                </c:pt>
                <c:pt idx="12">
                  <c:v>45.860000999999997</c:v>
                </c:pt>
                <c:pt idx="13">
                  <c:v>48.790000999999997</c:v>
                </c:pt>
                <c:pt idx="14">
                  <c:v>48.900002000000001</c:v>
                </c:pt>
                <c:pt idx="15">
                  <c:v>49.490001999999997</c:v>
                </c:pt>
                <c:pt idx="16">
                  <c:v>52.02</c:v>
                </c:pt>
                <c:pt idx="17">
                  <c:v>51.080002</c:v>
                </c:pt>
                <c:pt idx="18">
                  <c:v>50.360000999999997</c:v>
                </c:pt>
                <c:pt idx="19">
                  <c:v>51.68</c:v>
                </c:pt>
                <c:pt idx="20">
                  <c:v>56.060001</c:v>
                </c:pt>
                <c:pt idx="21">
                  <c:v>56.049999</c:v>
                </c:pt>
                <c:pt idx="22">
                  <c:v>58.93</c:v>
                </c:pt>
                <c:pt idx="23">
                  <c:v>60.59</c:v>
                </c:pt>
                <c:pt idx="24">
                  <c:v>65.650002000000001</c:v>
                </c:pt>
                <c:pt idx="25">
                  <c:v>63.610000999999997</c:v>
                </c:pt>
                <c:pt idx="26">
                  <c:v>62.41</c:v>
                </c:pt>
                <c:pt idx="27">
                  <c:v>61.080002</c:v>
                </c:pt>
                <c:pt idx="28">
                  <c:v>63.189999</c:v>
                </c:pt>
                <c:pt idx="29">
                  <c:v>68.839995999999999</c:v>
                </c:pt>
                <c:pt idx="30">
                  <c:v>69</c:v>
                </c:pt>
                <c:pt idx="31">
                  <c:v>69</c:v>
                </c:pt>
                <c:pt idx="32">
                  <c:v>71.529999000000004</c:v>
                </c:pt>
                <c:pt idx="33">
                  <c:v>71.910004000000001</c:v>
                </c:pt>
                <c:pt idx="34">
                  <c:v>70.080001999999993</c:v>
                </c:pt>
                <c:pt idx="35">
                  <c:v>72.239998</c:v>
                </c:pt>
                <c:pt idx="36">
                  <c:v>73.180000000000007</c:v>
                </c:pt>
                <c:pt idx="37">
                  <c:v>74.610000999999997</c:v>
                </c:pt>
                <c:pt idx="38">
                  <c:v>75.720000999999996</c:v>
                </c:pt>
                <c:pt idx="39">
                  <c:v>75.860000999999997</c:v>
                </c:pt>
                <c:pt idx="40">
                  <c:v>78.330001999999993</c:v>
                </c:pt>
                <c:pt idx="41">
                  <c:v>80.819999999999993</c:v>
                </c:pt>
                <c:pt idx="42">
                  <c:v>85.550003000000004</c:v>
                </c:pt>
                <c:pt idx="43">
                  <c:v>78.389999000000003</c:v>
                </c:pt>
                <c:pt idx="44">
                  <c:v>82.720000999999996</c:v>
                </c:pt>
                <c:pt idx="45">
                  <c:v>80.910004000000001</c:v>
                </c:pt>
                <c:pt idx="46">
                  <c:v>80.669998000000007</c:v>
                </c:pt>
                <c:pt idx="47">
                  <c:v>79.959998999999996</c:v>
                </c:pt>
                <c:pt idx="48">
                  <c:v>80.879997000000003</c:v>
                </c:pt>
                <c:pt idx="49">
                  <c:v>88.540001000000004</c:v>
                </c:pt>
                <c:pt idx="50">
                  <c:v>89.650002000000001</c:v>
                </c:pt>
                <c:pt idx="51">
                  <c:v>83.220000999999996</c:v>
                </c:pt>
                <c:pt idx="52">
                  <c:v>86.370002999999997</c:v>
                </c:pt>
                <c:pt idx="53">
                  <c:v>83.489998</c:v>
                </c:pt>
                <c:pt idx="54">
                  <c:v>87.32</c:v>
                </c:pt>
                <c:pt idx="55">
                  <c:v>94.879997000000003</c:v>
                </c:pt>
                <c:pt idx="56">
                  <c:v>98.190002000000007</c:v>
                </c:pt>
                <c:pt idx="57">
                  <c:v>97.550003000000004</c:v>
                </c:pt>
                <c:pt idx="58">
                  <c:v>103.839996</c:v>
                </c:pt>
                <c:pt idx="59">
                  <c:v>110.25</c:v>
                </c:pt>
                <c:pt idx="60">
                  <c:v>114.44000200000001</c:v>
                </c:pt>
              </c:numCache>
            </c:numRef>
          </c:val>
          <c:smooth val="0"/>
        </c:ser>
        <c:ser>
          <c:idx val="2"/>
          <c:order val="2"/>
          <c:tx>
            <c:strRef>
              <c:f>[STOCK_CHARTS_BADM1030.xlsm]Sheet1!$J$1</c:f>
              <c:strCache>
                <c:ptCount val="1"/>
                <c:pt idx="0">
                  <c:v>RS High</c:v>
                </c:pt>
              </c:strCache>
            </c:strRef>
          </c:tx>
          <c:spPr>
            <a:ln w="28575" cap="rnd">
              <a:solidFill>
                <a:schemeClr val="accent3"/>
              </a:solidFill>
              <a:round/>
            </a:ln>
            <a:effectLst/>
          </c:spPr>
          <c:marker>
            <c:symbol val="none"/>
          </c:marker>
          <c:cat>
            <c:numRef>
              <c:f>[STOCK_CHARTS_BADM1030.xlsm]Sheet1!$G$2:$G$62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[STOCK_CHARTS_BADM1030.xlsm]Sheet1!$J$2:$J$62</c:f>
              <c:numCache>
                <c:formatCode>General</c:formatCode>
                <c:ptCount val="61"/>
                <c:pt idx="0">
                  <c:v>38.389999000000003</c:v>
                </c:pt>
                <c:pt idx="1">
                  <c:v>39.659999999999997</c:v>
                </c:pt>
                <c:pt idx="2">
                  <c:v>39.599997999999999</c:v>
                </c:pt>
                <c:pt idx="3">
                  <c:v>39.970001000000003</c:v>
                </c:pt>
                <c:pt idx="4">
                  <c:v>39.970001000000003</c:v>
                </c:pt>
                <c:pt idx="5">
                  <c:v>41.119999</c:v>
                </c:pt>
                <c:pt idx="6">
                  <c:v>41.740001999999997</c:v>
                </c:pt>
                <c:pt idx="7">
                  <c:v>41.209999000000003</c:v>
                </c:pt>
                <c:pt idx="8">
                  <c:v>42.049999</c:v>
                </c:pt>
                <c:pt idx="9">
                  <c:v>41.459999000000003</c:v>
                </c:pt>
                <c:pt idx="10">
                  <c:v>41.02</c:v>
                </c:pt>
                <c:pt idx="11">
                  <c:v>40.98</c:v>
                </c:pt>
                <c:pt idx="12">
                  <c:v>42.98</c:v>
                </c:pt>
                <c:pt idx="13">
                  <c:v>43.709999000000003</c:v>
                </c:pt>
                <c:pt idx="14">
                  <c:v>41.860000999999997</c:v>
                </c:pt>
                <c:pt idx="15">
                  <c:v>44.900002000000001</c:v>
                </c:pt>
                <c:pt idx="16">
                  <c:v>44.59</c:v>
                </c:pt>
                <c:pt idx="17">
                  <c:v>45.349997999999999</c:v>
                </c:pt>
                <c:pt idx="18">
                  <c:v>44.880001</c:v>
                </c:pt>
                <c:pt idx="19">
                  <c:v>46.619999</c:v>
                </c:pt>
                <c:pt idx="20">
                  <c:v>48.759998000000003</c:v>
                </c:pt>
                <c:pt idx="21">
                  <c:v>48.290000999999997</c:v>
                </c:pt>
                <c:pt idx="22">
                  <c:v>48.959999000000003</c:v>
                </c:pt>
                <c:pt idx="23">
                  <c:v>51.310001</c:v>
                </c:pt>
                <c:pt idx="24">
                  <c:v>52.919998</c:v>
                </c:pt>
                <c:pt idx="25">
                  <c:v>52.02</c:v>
                </c:pt>
                <c:pt idx="26">
                  <c:v>51.59</c:v>
                </c:pt>
                <c:pt idx="27">
                  <c:v>52.77</c:v>
                </c:pt>
                <c:pt idx="28">
                  <c:v>56.02</c:v>
                </c:pt>
                <c:pt idx="29">
                  <c:v>58</c:v>
                </c:pt>
                <c:pt idx="30">
                  <c:v>58.080002</c:v>
                </c:pt>
                <c:pt idx="31">
                  <c:v>62</c:v>
                </c:pt>
                <c:pt idx="32">
                  <c:v>63.84</c:v>
                </c:pt>
                <c:pt idx="33">
                  <c:v>64.110000999999997</c:v>
                </c:pt>
                <c:pt idx="34">
                  <c:v>63.73</c:v>
                </c:pt>
                <c:pt idx="35">
                  <c:v>65.339995999999999</c:v>
                </c:pt>
                <c:pt idx="36">
                  <c:v>65.540001000000004</c:v>
                </c:pt>
                <c:pt idx="37">
                  <c:v>65.389999000000003</c:v>
                </c:pt>
                <c:pt idx="38">
                  <c:v>67.180000000000007</c:v>
                </c:pt>
                <c:pt idx="39">
                  <c:v>66.660004000000001</c:v>
                </c:pt>
                <c:pt idx="40">
                  <c:v>65.290001000000004</c:v>
                </c:pt>
                <c:pt idx="41">
                  <c:v>68</c:v>
                </c:pt>
                <c:pt idx="42">
                  <c:v>69.400002000000001</c:v>
                </c:pt>
                <c:pt idx="43">
                  <c:v>69</c:v>
                </c:pt>
                <c:pt idx="44">
                  <c:v>69.339995999999999</c:v>
                </c:pt>
                <c:pt idx="45">
                  <c:v>68.440002000000007</c:v>
                </c:pt>
                <c:pt idx="46">
                  <c:v>69.029999000000004</c:v>
                </c:pt>
                <c:pt idx="47">
                  <c:v>69.970000999999996</c:v>
                </c:pt>
                <c:pt idx="48">
                  <c:v>72.75</c:v>
                </c:pt>
                <c:pt idx="49">
                  <c:v>74.779999000000004</c:v>
                </c:pt>
                <c:pt idx="50">
                  <c:v>75.819999999999993</c:v>
                </c:pt>
                <c:pt idx="51">
                  <c:v>73.300003000000004</c:v>
                </c:pt>
                <c:pt idx="52">
                  <c:v>77.459998999999996</c:v>
                </c:pt>
                <c:pt idx="53">
                  <c:v>78.540001000000004</c:v>
                </c:pt>
                <c:pt idx="54">
                  <c:v>77.089995999999999</c:v>
                </c:pt>
                <c:pt idx="55">
                  <c:v>78.550003000000004</c:v>
                </c:pt>
                <c:pt idx="56">
                  <c:v>81.199996999999996</c:v>
                </c:pt>
                <c:pt idx="57">
                  <c:v>82.870002999999997</c:v>
                </c:pt>
                <c:pt idx="58">
                  <c:v>85.400002000000001</c:v>
                </c:pt>
                <c:pt idx="59">
                  <c:v>87.779999000000004</c:v>
                </c:pt>
                <c:pt idx="60">
                  <c:v>88.360000999999997</c:v>
                </c:pt>
              </c:numCache>
            </c:numRef>
          </c:val>
          <c:smooth val="0"/>
        </c:ser>
        <c:ser>
          <c:idx val="3"/>
          <c:order val="3"/>
          <c:tx>
            <c:strRef>
              <c:f>[STOCK_CHARTS_BADM1030.xlsm]Sheet1!$K$1</c:f>
              <c:strCache>
                <c:ptCount val="1"/>
                <c:pt idx="0">
                  <c:v>RS Low</c:v>
                </c:pt>
              </c:strCache>
            </c:strRef>
          </c:tx>
          <c:spPr>
            <a:ln w="28575" cap="rnd">
              <a:solidFill>
                <a:schemeClr val="accent4"/>
              </a:solidFill>
              <a:round/>
            </a:ln>
            <a:effectLst/>
          </c:spPr>
          <c:marker>
            <c:symbol val="none"/>
          </c:marker>
          <c:cat>
            <c:numRef>
              <c:f>[STOCK_CHARTS_BADM1030.xlsm]Sheet1!$G$2:$G$62</c:f>
              <c:numCache>
                <c:formatCode>m/d/yyyy</c:formatCode>
                <c:ptCount val="61"/>
                <c:pt idx="0">
                  <c:v>41821</c:v>
                </c:pt>
                <c:pt idx="1">
                  <c:v>41852</c:v>
                </c:pt>
                <c:pt idx="2">
                  <c:v>41883</c:v>
                </c:pt>
                <c:pt idx="3">
                  <c:v>41913</c:v>
                </c:pt>
                <c:pt idx="4">
                  <c:v>41944</c:v>
                </c:pt>
                <c:pt idx="5">
                  <c:v>41974</c:v>
                </c:pt>
                <c:pt idx="6">
                  <c:v>42005</c:v>
                </c:pt>
                <c:pt idx="7">
                  <c:v>42036</c:v>
                </c:pt>
                <c:pt idx="8">
                  <c:v>42064</c:v>
                </c:pt>
                <c:pt idx="9">
                  <c:v>42095</c:v>
                </c:pt>
                <c:pt idx="10">
                  <c:v>42125</c:v>
                </c:pt>
                <c:pt idx="11">
                  <c:v>42156</c:v>
                </c:pt>
                <c:pt idx="12">
                  <c:v>42186</c:v>
                </c:pt>
                <c:pt idx="13">
                  <c:v>42217</c:v>
                </c:pt>
                <c:pt idx="14">
                  <c:v>42248</c:v>
                </c:pt>
                <c:pt idx="15">
                  <c:v>42278</c:v>
                </c:pt>
                <c:pt idx="16">
                  <c:v>42309</c:v>
                </c:pt>
                <c:pt idx="17">
                  <c:v>42339</c:v>
                </c:pt>
                <c:pt idx="18">
                  <c:v>42370</c:v>
                </c:pt>
                <c:pt idx="19">
                  <c:v>42401</c:v>
                </c:pt>
                <c:pt idx="20">
                  <c:v>42430</c:v>
                </c:pt>
                <c:pt idx="21">
                  <c:v>42461</c:v>
                </c:pt>
                <c:pt idx="22">
                  <c:v>42491</c:v>
                </c:pt>
                <c:pt idx="23">
                  <c:v>42522</c:v>
                </c:pt>
                <c:pt idx="24">
                  <c:v>42552</c:v>
                </c:pt>
                <c:pt idx="25">
                  <c:v>42583</c:v>
                </c:pt>
                <c:pt idx="26">
                  <c:v>42614</c:v>
                </c:pt>
                <c:pt idx="27">
                  <c:v>42644</c:v>
                </c:pt>
                <c:pt idx="28">
                  <c:v>42675</c:v>
                </c:pt>
                <c:pt idx="29">
                  <c:v>42705</c:v>
                </c:pt>
                <c:pt idx="30">
                  <c:v>42736</c:v>
                </c:pt>
                <c:pt idx="31">
                  <c:v>42767</c:v>
                </c:pt>
                <c:pt idx="32">
                  <c:v>42795</c:v>
                </c:pt>
                <c:pt idx="33">
                  <c:v>42826</c:v>
                </c:pt>
                <c:pt idx="34">
                  <c:v>42856</c:v>
                </c:pt>
                <c:pt idx="35">
                  <c:v>42887</c:v>
                </c:pt>
                <c:pt idx="36">
                  <c:v>42917</c:v>
                </c:pt>
                <c:pt idx="37">
                  <c:v>42948</c:v>
                </c:pt>
                <c:pt idx="38">
                  <c:v>42979</c:v>
                </c:pt>
                <c:pt idx="39">
                  <c:v>43009</c:v>
                </c:pt>
                <c:pt idx="40">
                  <c:v>43040</c:v>
                </c:pt>
                <c:pt idx="41">
                  <c:v>43070</c:v>
                </c:pt>
                <c:pt idx="42">
                  <c:v>43101</c:v>
                </c:pt>
                <c:pt idx="43">
                  <c:v>43132</c:v>
                </c:pt>
                <c:pt idx="44">
                  <c:v>43160</c:v>
                </c:pt>
                <c:pt idx="45">
                  <c:v>43191</c:v>
                </c:pt>
                <c:pt idx="46">
                  <c:v>43221</c:v>
                </c:pt>
                <c:pt idx="47">
                  <c:v>43252</c:v>
                </c:pt>
                <c:pt idx="48">
                  <c:v>43282</c:v>
                </c:pt>
                <c:pt idx="49">
                  <c:v>43313</c:v>
                </c:pt>
                <c:pt idx="50">
                  <c:v>43344</c:v>
                </c:pt>
                <c:pt idx="51">
                  <c:v>43374</c:v>
                </c:pt>
                <c:pt idx="52">
                  <c:v>43405</c:v>
                </c:pt>
                <c:pt idx="53">
                  <c:v>43435</c:v>
                </c:pt>
                <c:pt idx="54">
                  <c:v>43466</c:v>
                </c:pt>
                <c:pt idx="55">
                  <c:v>43497</c:v>
                </c:pt>
                <c:pt idx="56">
                  <c:v>43525</c:v>
                </c:pt>
                <c:pt idx="57">
                  <c:v>43556</c:v>
                </c:pt>
                <c:pt idx="58">
                  <c:v>43586</c:v>
                </c:pt>
                <c:pt idx="59">
                  <c:v>43617</c:v>
                </c:pt>
                <c:pt idx="60">
                  <c:v>43647</c:v>
                </c:pt>
              </c:numCache>
            </c:numRef>
          </c:cat>
          <c:val>
            <c:numRef>
              <c:f>[STOCK_CHARTS_BADM1030.xlsm]Sheet1!$K$2:$K$62</c:f>
              <c:numCache>
                <c:formatCode>General</c:formatCode>
                <c:ptCount val="61"/>
                <c:pt idx="0">
                  <c:v>36.720001000000003</c:v>
                </c:pt>
                <c:pt idx="1">
                  <c:v>37.509998000000003</c:v>
                </c:pt>
                <c:pt idx="2">
                  <c:v>38.520000000000003</c:v>
                </c:pt>
                <c:pt idx="3">
                  <c:v>37.18</c:v>
                </c:pt>
                <c:pt idx="4">
                  <c:v>37.549999</c:v>
                </c:pt>
                <c:pt idx="5">
                  <c:v>38.349997999999999</c:v>
                </c:pt>
                <c:pt idx="6">
                  <c:v>39.639999000000003</c:v>
                </c:pt>
                <c:pt idx="7">
                  <c:v>38.950001</c:v>
                </c:pt>
                <c:pt idx="8">
                  <c:v>39.939999</c:v>
                </c:pt>
                <c:pt idx="9">
                  <c:v>39.25</c:v>
                </c:pt>
                <c:pt idx="10">
                  <c:v>39.150002000000001</c:v>
                </c:pt>
                <c:pt idx="11">
                  <c:v>38.990001999999997</c:v>
                </c:pt>
                <c:pt idx="12">
                  <c:v>39.169998</c:v>
                </c:pt>
                <c:pt idx="13">
                  <c:v>39.479999999999997</c:v>
                </c:pt>
                <c:pt idx="14">
                  <c:v>39.830002</c:v>
                </c:pt>
                <c:pt idx="15">
                  <c:v>40.669998</c:v>
                </c:pt>
                <c:pt idx="16">
                  <c:v>42.77</c:v>
                </c:pt>
                <c:pt idx="17">
                  <c:v>42.73</c:v>
                </c:pt>
                <c:pt idx="18">
                  <c:v>41.82</c:v>
                </c:pt>
                <c:pt idx="19">
                  <c:v>42.560001</c:v>
                </c:pt>
                <c:pt idx="20">
                  <c:v>46</c:v>
                </c:pt>
                <c:pt idx="21">
                  <c:v>45.560001</c:v>
                </c:pt>
                <c:pt idx="22">
                  <c:v>46.790000999999997</c:v>
                </c:pt>
                <c:pt idx="23">
                  <c:v>47.950001</c:v>
                </c:pt>
                <c:pt idx="24">
                  <c:v>51.040000999999997</c:v>
                </c:pt>
                <c:pt idx="25">
                  <c:v>50.080002</c:v>
                </c:pt>
                <c:pt idx="26">
                  <c:v>49.419998</c:v>
                </c:pt>
                <c:pt idx="27">
                  <c:v>49.18</c:v>
                </c:pt>
                <c:pt idx="28">
                  <c:v>50.889999000000003</c:v>
                </c:pt>
                <c:pt idx="29">
                  <c:v>55.07</c:v>
                </c:pt>
                <c:pt idx="30">
                  <c:v>56.169998</c:v>
                </c:pt>
                <c:pt idx="31">
                  <c:v>56.830002</c:v>
                </c:pt>
                <c:pt idx="32">
                  <c:v>61.619999</c:v>
                </c:pt>
                <c:pt idx="33">
                  <c:v>62.119999</c:v>
                </c:pt>
                <c:pt idx="34">
                  <c:v>61.009998000000003</c:v>
                </c:pt>
                <c:pt idx="35">
                  <c:v>62.759998000000003</c:v>
                </c:pt>
                <c:pt idx="36">
                  <c:v>63.450001</c:v>
                </c:pt>
                <c:pt idx="37">
                  <c:v>63.610000999999997</c:v>
                </c:pt>
                <c:pt idx="38">
                  <c:v>64.430000000000007</c:v>
                </c:pt>
                <c:pt idx="39">
                  <c:v>62.459999000000003</c:v>
                </c:pt>
                <c:pt idx="40">
                  <c:v>62.049999</c:v>
                </c:pt>
                <c:pt idx="41">
                  <c:v>63.66</c:v>
                </c:pt>
                <c:pt idx="42">
                  <c:v>66.360000999999997</c:v>
                </c:pt>
                <c:pt idx="43">
                  <c:v>60.259998000000003</c:v>
                </c:pt>
                <c:pt idx="44">
                  <c:v>65.330001999999993</c:v>
                </c:pt>
                <c:pt idx="45">
                  <c:v>64.480002999999996</c:v>
                </c:pt>
                <c:pt idx="46">
                  <c:v>64.129997000000003</c:v>
                </c:pt>
                <c:pt idx="47">
                  <c:v>67.529999000000004</c:v>
                </c:pt>
                <c:pt idx="48">
                  <c:v>67.879997000000003</c:v>
                </c:pt>
                <c:pt idx="49">
                  <c:v>71.980002999999996</c:v>
                </c:pt>
                <c:pt idx="50">
                  <c:v>72.120002999999997</c:v>
                </c:pt>
                <c:pt idx="51">
                  <c:v>67.480002999999996</c:v>
                </c:pt>
                <c:pt idx="52">
                  <c:v>71.279999000000004</c:v>
                </c:pt>
                <c:pt idx="53">
                  <c:v>68.940002000000007</c:v>
                </c:pt>
                <c:pt idx="54">
                  <c:v>70.419998000000007</c:v>
                </c:pt>
                <c:pt idx="55">
                  <c:v>75.029999000000004</c:v>
                </c:pt>
                <c:pt idx="56">
                  <c:v>77.440002000000007</c:v>
                </c:pt>
                <c:pt idx="57">
                  <c:v>76.129997000000003</c:v>
                </c:pt>
                <c:pt idx="58">
                  <c:v>81.489998</c:v>
                </c:pt>
                <c:pt idx="59">
                  <c:v>84.120002999999997</c:v>
                </c:pt>
                <c:pt idx="60">
                  <c:v>86.18</c:v>
                </c:pt>
              </c:numCache>
            </c:numRef>
          </c:val>
          <c:smooth val="0"/>
        </c:ser>
        <c:dLbls>
          <c:showLegendKey val="0"/>
          <c:showVal val="0"/>
          <c:showCatName val="0"/>
          <c:showSerName val="0"/>
          <c:showPercent val="0"/>
          <c:showBubbleSize val="0"/>
        </c:dLbls>
        <c:marker val="1"/>
        <c:smooth val="0"/>
        <c:axId val="405955328"/>
        <c:axId val="405956864"/>
      </c:lineChart>
      <c:dateAx>
        <c:axId val="405955328"/>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956864"/>
        <c:crosses val="autoZero"/>
        <c:auto val="1"/>
        <c:lblOffset val="100"/>
        <c:baseTimeUnit val="months"/>
      </c:dateAx>
      <c:valAx>
        <c:axId val="405956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95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2019-07-26T15:56:00Z</dcterms:created>
  <dcterms:modified xsi:type="dcterms:W3CDTF">2019-07-26T15:56:00Z</dcterms:modified>
</cp:coreProperties>
</file>