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0200E" w14:textId="77777777" w:rsidR="00C771B2" w:rsidRPr="005D6B33" w:rsidRDefault="00C771B2" w:rsidP="00C771B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Student’s name</w:t>
      </w:r>
    </w:p>
    <w:p w14:paraId="280A958D" w14:textId="77777777" w:rsidR="00C771B2" w:rsidRPr="005D6B33" w:rsidRDefault="00C771B2" w:rsidP="00C771B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Tutor</w:t>
      </w:r>
    </w:p>
    <w:p w14:paraId="3917FB3E" w14:textId="77777777" w:rsidR="00C771B2" w:rsidRPr="005D6B33" w:rsidRDefault="00C771B2" w:rsidP="00C771B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Course and code</w:t>
      </w:r>
    </w:p>
    <w:p w14:paraId="680E5C20" w14:textId="77777777" w:rsidR="00C771B2" w:rsidRPr="005D6B33" w:rsidRDefault="00C771B2" w:rsidP="00C771B2">
      <w:pPr>
        <w:spacing w:line="480" w:lineRule="auto"/>
        <w:contextualSpacing/>
        <w:rPr>
          <w:rFonts w:ascii="Times New Roman" w:hAnsi="Times New Roman" w:cs="Times New Roman"/>
          <w:sz w:val="24"/>
          <w:szCs w:val="24"/>
        </w:rPr>
      </w:pPr>
      <w:r w:rsidRPr="005D6B33">
        <w:rPr>
          <w:rFonts w:ascii="Times New Roman" w:hAnsi="Times New Roman" w:cs="Times New Roman"/>
          <w:sz w:val="24"/>
          <w:szCs w:val="24"/>
        </w:rPr>
        <w:t>Date</w:t>
      </w:r>
    </w:p>
    <w:p w14:paraId="329ADA6B" w14:textId="77777777" w:rsidR="00C771B2" w:rsidRPr="00C771B2" w:rsidRDefault="00C771B2" w:rsidP="00C771B2">
      <w:pPr>
        <w:spacing w:line="480" w:lineRule="auto"/>
        <w:contextualSpacing/>
        <w:jc w:val="center"/>
        <w:rPr>
          <w:rFonts w:ascii="Times New Roman" w:hAnsi="Times New Roman" w:cs="Times New Roman"/>
          <w:sz w:val="24"/>
          <w:szCs w:val="24"/>
        </w:rPr>
      </w:pPr>
      <w:r w:rsidRPr="00C771B2">
        <w:rPr>
          <w:rFonts w:ascii="Times New Roman" w:hAnsi="Times New Roman" w:cs="Times New Roman"/>
          <w:sz w:val="24"/>
          <w:szCs w:val="24"/>
        </w:rPr>
        <w:t>Essential Virtues Present in the Iliad</w:t>
      </w:r>
    </w:p>
    <w:p w14:paraId="3B7ED669"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The Iliad is an epic sonnet of Homer that portrays The War of Troy among Trojans and Achaeans, which happens in antiquated history and it is loaded with gallant stories. The Trojan War is brought about by Helen and Paris's disloyalty, and the war is finished up with the passing of Hector and the breakdown of Troy (</w:t>
      </w:r>
      <w:r w:rsidRPr="00996925">
        <w:rPr>
          <w:rFonts w:ascii="Times New Roman" w:hAnsi="Times New Roman" w:cs="Times New Roman"/>
          <w:color w:val="222222"/>
          <w:sz w:val="24"/>
          <w:szCs w:val="24"/>
          <w:shd w:val="clear" w:color="auto" w:fill="FFFFFF"/>
        </w:rPr>
        <w:t>Traweek et al. (2020)</w:t>
      </w:r>
      <w:r w:rsidRPr="00996925">
        <w:rPr>
          <w:rFonts w:ascii="Times New Roman" w:hAnsi="Times New Roman" w:cs="Times New Roman"/>
          <w:sz w:val="24"/>
          <w:szCs w:val="24"/>
        </w:rPr>
        <w:t xml:space="preserve">. In Homeric culture, actions and being an incredible hero possess a critical spot in their lives since extraordinary heroes are accepted as righteous presences. That is the reason Homer recounts the exceptional accounts of outstanding fighters. Close by gallant stories, Homer likewise shows a way to be prudent through Achilles' anger, Helen's deceitfulness, and enticing practices of Paris. He underlines these raised components and gives exercises from every one of them to his general public to laud 'righteousness.' In any case, it violates its time and spot, and it can get by until the cutting-edge world gratitude to its ethical messages, which are as yet substantial. In this paper, Homer's exercises through these raised components identified with 'uprightness' will be examined and portrayed with the sonnet's epitomes. </w:t>
      </w:r>
    </w:p>
    <w:p w14:paraId="0BF45D94"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Humanism, which ideals ambushes us as the primary topic of the Iliad at its end. Humanism pushes its optimistic and heartbreaking head out as an unexpected climactic and topical wind. Out of nowhere overpowers and quiets the epic's intermittent war dramatizations of solidarity, grit, fury, and honor. Additionally, the present is a typically related uprightness topic found in old Greek legends. Likewise, it straightforwardly helps the humanist message: regard for the dead groups, including those of the adversary. If one ponders it, that righteousness gets from one human's </w:t>
      </w:r>
      <w:r w:rsidRPr="00996925">
        <w:rPr>
          <w:rFonts w:ascii="Times New Roman" w:hAnsi="Times New Roman" w:cs="Times New Roman"/>
          <w:sz w:val="24"/>
          <w:szCs w:val="24"/>
        </w:rPr>
        <w:lastRenderedPageBreak/>
        <w:t xml:space="preserve">humanistic respect to another for just being human, paying little mind to the distinction of clan or cause. </w:t>
      </w:r>
    </w:p>
    <w:p w14:paraId="38B6ABAA" w14:textId="77777777" w:rsidR="00C771B2" w:rsidRPr="00996925" w:rsidRDefault="00C771B2" w:rsidP="00C771B2">
      <w:pPr>
        <w:shd w:val="clear" w:color="auto" w:fill="FFFFFF"/>
        <w:spacing w:line="480" w:lineRule="auto"/>
        <w:rPr>
          <w:rFonts w:ascii="Times New Roman" w:eastAsia="Times New Roman" w:hAnsi="Times New Roman" w:cs="Times New Roman"/>
          <w:color w:val="3F3743"/>
          <w:sz w:val="24"/>
          <w:szCs w:val="24"/>
        </w:rPr>
      </w:pPr>
      <w:r w:rsidRPr="00996925">
        <w:rPr>
          <w:rFonts w:ascii="Times New Roman" w:hAnsi="Times New Roman" w:cs="Times New Roman"/>
          <w:sz w:val="24"/>
          <w:szCs w:val="24"/>
        </w:rPr>
        <w:t xml:space="preserve"> In the Iliad, which is about clash and blood and bravery and honor and afterward much more butchery and strife, the completion (spoiler alert!) slips in with an incredible message that changes from the battle morals of fearlessness and honor to a practically sympathetic and pacific note. It is a note that reports that all people are in almost the same situation, helpless before the divine beings' impulses (</w:t>
      </w:r>
      <w:r w:rsidRPr="00996925">
        <w:rPr>
          <w:rFonts w:ascii="Times New Roman" w:hAnsi="Times New Roman" w:cs="Times New Roman"/>
          <w:color w:val="222222"/>
          <w:sz w:val="24"/>
          <w:szCs w:val="24"/>
          <w:shd w:val="clear" w:color="auto" w:fill="FFFFFF"/>
        </w:rPr>
        <w:t>Wilson et al. (2020)</w:t>
      </w:r>
      <w:r w:rsidRPr="00996925">
        <w:rPr>
          <w:rFonts w:ascii="Times New Roman" w:hAnsi="Times New Roman" w:cs="Times New Roman"/>
          <w:sz w:val="24"/>
          <w:szCs w:val="24"/>
        </w:rPr>
        <w:t>. “</w:t>
      </w:r>
      <w:r w:rsidRPr="00996925">
        <w:rPr>
          <w:rFonts w:ascii="Times New Roman" w:eastAsia="Times New Roman" w:hAnsi="Times New Roman" w:cs="Times New Roman"/>
          <w:color w:val="3F3743"/>
          <w:sz w:val="24"/>
          <w:szCs w:val="24"/>
        </w:rPr>
        <w:t>The proud heart feels not terror nor turns to run, and it is his own courage that kills him."</w:t>
      </w:r>
    </w:p>
    <w:p w14:paraId="52E47BBD" w14:textId="77777777" w:rsidR="00C771B2" w:rsidRPr="00996925" w:rsidRDefault="00C771B2" w:rsidP="00C771B2">
      <w:pPr>
        <w:spacing w:line="480" w:lineRule="auto"/>
        <w:contextualSpacing/>
        <w:jc w:val="both"/>
        <w:rPr>
          <w:rFonts w:ascii="Times New Roman" w:hAnsi="Times New Roman" w:cs="Times New Roman"/>
          <w:sz w:val="24"/>
          <w:szCs w:val="24"/>
        </w:rPr>
      </w:pPr>
      <w:proofErr w:type="spellStart"/>
      <w:r w:rsidRPr="00996925">
        <w:rPr>
          <w:rFonts w:ascii="Times New Roman" w:hAnsi="Times New Roman" w:cs="Times New Roman"/>
          <w:sz w:val="24"/>
          <w:szCs w:val="24"/>
        </w:rPr>
        <w:t>thermore</w:t>
      </w:r>
      <w:proofErr w:type="spellEnd"/>
      <w:r w:rsidRPr="00996925">
        <w:rPr>
          <w:rFonts w:ascii="Times New Roman" w:hAnsi="Times New Roman" w:cs="Times New Roman"/>
          <w:sz w:val="24"/>
          <w:szCs w:val="24"/>
        </w:rPr>
        <w:t xml:space="preserve">, even foes share more for all intents and purpose than they are at first prepared to accept—spoiler time. Achilles keeps and abuses the dead assortment of Hector, whom he executed. He beats it under Hector's having committed Achilles' best bud (however, Hector was just carrying out his responsibility). </w:t>
      </w:r>
      <w:proofErr w:type="spellStart"/>
      <w:r w:rsidRPr="00996925">
        <w:rPr>
          <w:rFonts w:ascii="Times New Roman" w:hAnsi="Times New Roman" w:cs="Times New Roman"/>
          <w:sz w:val="24"/>
          <w:szCs w:val="24"/>
        </w:rPr>
        <w:t>Bt</w:t>
      </w:r>
      <w:proofErr w:type="spellEnd"/>
      <w:r w:rsidRPr="00996925">
        <w:rPr>
          <w:rFonts w:ascii="Times New Roman" w:hAnsi="Times New Roman" w:cs="Times New Roman"/>
          <w:sz w:val="24"/>
          <w:szCs w:val="24"/>
        </w:rPr>
        <w:t xml:space="preserve"> as it may, toward the end of the epic, Achilles' furious character, whose titanic fierceness is the Iliad's primary subject directly from its initial refrain, is distinctly driven away from his epic anger, which breaks down before a higher feeling of ethicalness. Achilles instead delivers the body to Hector's dad, the Trojan ruler, for appropriate entombment after the older adult's tears remind the coldblooded and obstinate Achilles of his own dad's tears when Achilles initially headed out to war and to undoubtedly at last bite the dust there. (Another righteousness, obedient regard or devotion, arises here as entryway temperance to a more powerful feeling of humankind.)</w:t>
      </w:r>
    </w:p>
    <w:p w14:paraId="226BD97A"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The epic doesn't end on the regular military triumph; however, on a wartime détente and a burial service for Hector, one whom we have found over the epic's course is the most regarded and fair character on one or the other side. Hector is alluded to in the last refrains by his moniker, "breaker of ponies," which may represent that his character — and the regard it instructed from the two sides and his dad — eventually broke the epic-sized and inhumanly remorseless fierceness of </w:t>
      </w:r>
      <w:r w:rsidRPr="00996925">
        <w:rPr>
          <w:rFonts w:ascii="Times New Roman" w:hAnsi="Times New Roman" w:cs="Times New Roman"/>
          <w:sz w:val="24"/>
          <w:szCs w:val="24"/>
        </w:rPr>
        <w:lastRenderedPageBreak/>
        <w:t>Achilles and delivered the last's humankind. The Iliad's unexpected exercise of humanistic self-revelation at that point — after all the front-line challenges, retribution interests, and uncouth contentions over who claims which slave-ladies — is that war-production and fury untampered by reason are misfortunes to and interruptions from the bigger humankind we as a whole offer.</w:t>
      </w:r>
    </w:p>
    <w:p w14:paraId="1E82F2AA"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One can make a solid contention that The Iliad appears to praise war. “</w:t>
      </w:r>
      <w:r w:rsidRPr="00996925">
        <w:rPr>
          <w:rFonts w:ascii="Times New Roman" w:hAnsi="Times New Roman" w:cs="Times New Roman"/>
          <w:color w:val="3F3743"/>
          <w:sz w:val="24"/>
          <w:szCs w:val="24"/>
          <w:shd w:val="clear" w:color="auto" w:fill="FFFFFF"/>
        </w:rPr>
        <w:t>Like a girl, a baby running after her mother, begging to be picked up, and she tugs on her skirts, holding her back as she tries to hurry off—all tears, fawning up at her, till she takes her in her arms… That’s how you look, Patroclus, streaming live tears”.</w:t>
      </w:r>
      <w:r w:rsidRPr="00996925">
        <w:rPr>
          <w:rFonts w:ascii="Times New Roman" w:hAnsi="Times New Roman" w:cs="Times New Roman"/>
          <w:sz w:val="24"/>
          <w:szCs w:val="24"/>
        </w:rPr>
        <w:t xml:space="preserve"> Characters arise as commendable or abhorrent, dependent on their level of skill and boldness in a fight. For instance, Paris doesn't care to battle, and correspondingly gets his family and sweetheart's disdain. Achilles, then again, win everlasting brilliance by unequivocally dismissing the alternative of a long, agreeable, uninteresting life at home. The content itself appears to help this method decide the character and extends it even to the divine beings. The epic holds up warlike gods, for example, Athena, for the peruser's appreciation while it ridicules divine beings who run from hate, utilizing the shyness of Aphrodite and Artemis to make a scene of the lighthearted element. To battle is to demonstrate one's honor and uprightness, while to evade fighting is to show sluggishness, dishonorable dread, or skewed needs. </w:t>
      </w:r>
    </w:p>
    <w:p w14:paraId="20A43954"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A subject in The Iliad firmly identified with the magnificence of war is the prevalence of military wonder over the family. “</w:t>
      </w:r>
      <w:r w:rsidRPr="00996925">
        <w:rPr>
          <w:rFonts w:ascii="Times New Roman" w:hAnsi="Times New Roman" w:cs="Times New Roman"/>
          <w:color w:val="3F3743"/>
          <w:sz w:val="24"/>
          <w:szCs w:val="24"/>
          <w:shd w:val="clear" w:color="auto" w:fill="FFFFFF"/>
        </w:rPr>
        <w:t>But listen to me first and swear an oath to use all your eloquence and strength to look after me and protect me</w:t>
      </w:r>
      <w:r w:rsidRPr="00996925">
        <w:rPr>
          <w:rFonts w:ascii="Times New Roman" w:hAnsi="Times New Roman" w:cs="Times New Roman"/>
          <w:sz w:val="24"/>
          <w:szCs w:val="24"/>
        </w:rPr>
        <w:t xml:space="preserve">." The content unmistakably appreciates the complementary obligations of reverence and commitment that predicament Homeric families together; however, it regards significantly more profoundly the quest for kleos, the "wonder" or "eminence" one success according to others by performing extraordinary deeds. Homer continually powers his characters to pick between their friends and family and the mission for kleos, and the most polite characters frequently pick the last mentioned. Andromache begs Hector </w:t>
      </w:r>
      <w:r w:rsidRPr="00996925">
        <w:rPr>
          <w:rFonts w:ascii="Times New Roman" w:hAnsi="Times New Roman" w:cs="Times New Roman"/>
          <w:sz w:val="24"/>
          <w:szCs w:val="24"/>
        </w:rPr>
        <w:lastRenderedPageBreak/>
        <w:t>not to chance to strand his child, but rather Hector realizes that battling among the front positions speaks to the primary methods for "winning my dad incredible brilliance." Paris, then again, decides to invest energy with Helen instead of battle in the war; in like manner, both the content and different characters treat him with scorn.</w:t>
      </w:r>
    </w:p>
    <w:p w14:paraId="57380FA0"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Achilles discusses getting back to life in the ease with his maturing father; however, he stays at Troy to win brilliance by slaughtering Hector and avenging Patroclus. The way accentuates the gravity of Hector and Achilles' choices that each knows his destiny early. The characters prize so exceptionally the military estimations of honor, respectable grit, and brilliance that they eagerly penance the opportunity to carry on with a long existence with those they </w:t>
      </w:r>
      <w:proofErr w:type="spellStart"/>
      <w:r w:rsidRPr="00996925">
        <w:rPr>
          <w:rFonts w:ascii="Times New Roman" w:hAnsi="Times New Roman" w:cs="Times New Roman"/>
          <w:sz w:val="24"/>
          <w:szCs w:val="24"/>
        </w:rPr>
        <w:t>logoodough</w:t>
      </w:r>
      <w:proofErr w:type="spellEnd"/>
      <w:r w:rsidRPr="00996925">
        <w:rPr>
          <w:rFonts w:ascii="Times New Roman" w:hAnsi="Times New Roman" w:cs="Times New Roman"/>
          <w:sz w:val="24"/>
          <w:szCs w:val="24"/>
        </w:rPr>
        <w:t xml:space="preserve"> The Iliad annals a short period in an exceptionally long war, it remains intensely aware of the particular finishes anticipating every one of individuals included. Troy is bound to fall, as Hector discloses to his better half in Book 6. The content reports that Priam and his youngsters' entirety will kick the bucket—Hector bites the dust even before the end of the sonnet. Achilles will meet an early end also, although not inside the pages of The Iliad. Homer continually insinuates this occasion, particularly at the end of the epic, clarifying that even the best men can't get away from death. Undoubtedly, he proposes that the best—the noblest and most daring—may respect demise sooner than others.</w:t>
      </w:r>
    </w:p>
    <w:p w14:paraId="1CBC4B3D" w14:textId="77777777" w:rsidR="00C771B2" w:rsidRPr="00996925" w:rsidRDefault="00C771B2" w:rsidP="00C771B2">
      <w:pPr>
        <w:spacing w:line="480" w:lineRule="auto"/>
        <w:contextualSpacing/>
        <w:jc w:val="both"/>
        <w:rPr>
          <w:rFonts w:ascii="Times New Roman" w:hAnsi="Times New Roman" w:cs="Times New Roman"/>
          <w:sz w:val="24"/>
          <w:szCs w:val="24"/>
        </w:rPr>
      </w:pPr>
      <w:r w:rsidRPr="00996925">
        <w:rPr>
          <w:rFonts w:ascii="Times New Roman" w:hAnsi="Times New Roman" w:cs="Times New Roman"/>
          <w:sz w:val="24"/>
          <w:szCs w:val="24"/>
        </w:rPr>
        <w:t xml:space="preserve">   Likewise, The Iliad perceives and repeatedly reminds its perusers that the manifestations of humans have mortality. The wonder of men doesn't live on in their developments, foundations, or urban communities (</w:t>
      </w:r>
      <w:r w:rsidRPr="00996925">
        <w:rPr>
          <w:rFonts w:ascii="Times New Roman" w:hAnsi="Times New Roman" w:cs="Times New Roman"/>
          <w:color w:val="222222"/>
          <w:sz w:val="24"/>
          <w:szCs w:val="24"/>
          <w:shd w:val="clear" w:color="auto" w:fill="FFFFFF"/>
        </w:rPr>
        <w:t>Zanker et al. (2020)</w:t>
      </w:r>
      <w:r w:rsidRPr="00996925">
        <w:rPr>
          <w:rFonts w:ascii="Times New Roman" w:hAnsi="Times New Roman" w:cs="Times New Roman"/>
          <w:sz w:val="24"/>
          <w:szCs w:val="24"/>
        </w:rPr>
        <w:t xml:space="preserve">. The prediction of Calchas, just as Hector's delicate words with Andromache and the discussions of the divine beings, continually remind the peruser that Troy's grandiose bulwarks will fall. However, the Greek strongholds won't last any longer. Even though the Greeks erect their ramparts just mostly into the epic, Apollo and Poseidon plan their devastation as right on time as Book 12. The sonnet consequently underscores the short idea of </w:t>
      </w:r>
      <w:r w:rsidRPr="00996925">
        <w:rPr>
          <w:rFonts w:ascii="Times New Roman" w:hAnsi="Times New Roman" w:cs="Times New Roman"/>
          <w:sz w:val="24"/>
          <w:szCs w:val="24"/>
        </w:rPr>
        <w:lastRenderedPageBreak/>
        <w:t>people and their reality, recommending that humans should attempt to carry on with their carries on as respectably as could reasonably be expected so that they will be recalled well. For if humans' actual bodies and material manifestations can't endure them, maybe their words and deeds can. Positively the presence of Homer's sonnet would authenticate this thought.</w:t>
      </w:r>
    </w:p>
    <w:p w14:paraId="7E9F1C07" w14:textId="77777777" w:rsidR="00C771B2" w:rsidRPr="00996925" w:rsidRDefault="00C771B2" w:rsidP="00C771B2">
      <w:pPr>
        <w:spacing w:line="480" w:lineRule="auto"/>
        <w:rPr>
          <w:rFonts w:ascii="Times New Roman" w:hAnsi="Times New Roman" w:cs="Times New Roman"/>
          <w:sz w:val="24"/>
          <w:szCs w:val="24"/>
        </w:rPr>
      </w:pPr>
      <w:r w:rsidRPr="00996925">
        <w:rPr>
          <w:rFonts w:ascii="Times New Roman" w:hAnsi="Times New Roman" w:cs="Times New Roman"/>
          <w:sz w:val="24"/>
          <w:szCs w:val="24"/>
        </w:rPr>
        <w:br w:type="page"/>
      </w:r>
    </w:p>
    <w:p w14:paraId="39033393" w14:textId="77777777" w:rsidR="00C771B2" w:rsidRPr="00996925" w:rsidRDefault="00C771B2" w:rsidP="00C771B2">
      <w:pPr>
        <w:spacing w:line="480" w:lineRule="auto"/>
        <w:contextualSpacing/>
        <w:jc w:val="center"/>
        <w:rPr>
          <w:rFonts w:ascii="Times New Roman" w:hAnsi="Times New Roman" w:cs="Times New Roman"/>
          <w:b/>
          <w:bCs/>
          <w:sz w:val="24"/>
          <w:szCs w:val="24"/>
        </w:rPr>
      </w:pPr>
      <w:r w:rsidRPr="00996925">
        <w:rPr>
          <w:rFonts w:ascii="Times New Roman" w:hAnsi="Times New Roman" w:cs="Times New Roman"/>
          <w:b/>
          <w:bCs/>
          <w:sz w:val="24"/>
          <w:szCs w:val="24"/>
        </w:rPr>
        <w:lastRenderedPageBreak/>
        <w:t>References</w:t>
      </w:r>
    </w:p>
    <w:p w14:paraId="4ADE7222" w14:textId="77777777" w:rsidR="00C771B2" w:rsidRPr="00996925" w:rsidRDefault="00C771B2" w:rsidP="00C771B2">
      <w:pPr>
        <w:spacing w:line="480" w:lineRule="auto"/>
        <w:ind w:left="720" w:hanging="720"/>
        <w:contextualSpacing/>
        <w:rPr>
          <w:rFonts w:ascii="Times New Roman" w:hAnsi="Times New Roman" w:cs="Times New Roman"/>
          <w:b/>
          <w:bCs/>
          <w:sz w:val="24"/>
          <w:szCs w:val="24"/>
        </w:rPr>
      </w:pPr>
      <w:r w:rsidRPr="00996925">
        <w:rPr>
          <w:rFonts w:ascii="Times New Roman" w:hAnsi="Times New Roman" w:cs="Times New Roman"/>
          <w:color w:val="222222"/>
          <w:sz w:val="24"/>
          <w:szCs w:val="24"/>
          <w:shd w:val="clear" w:color="auto" w:fill="FFFFFF"/>
        </w:rPr>
        <w:t>Traweek, A. C. (2020). Homer and visual translation-(c.) Von Solms a Homeric catalog of shapes. The Iliad and odyssey are seen differently. Pp. XIV+ 220, ills. London and New York: Bloomsbury Academic, 2020. Cased,£ 85, us $115. Isbn: 978-1-350-03958-2.</w:t>
      </w:r>
    </w:p>
    <w:p w14:paraId="52CD5320" w14:textId="77777777" w:rsidR="00C771B2" w:rsidRPr="00996925" w:rsidRDefault="00C771B2" w:rsidP="00C771B2">
      <w:pPr>
        <w:spacing w:line="480" w:lineRule="auto"/>
        <w:ind w:left="720" w:hanging="720"/>
        <w:contextualSpacing/>
        <w:rPr>
          <w:rFonts w:ascii="Times New Roman" w:hAnsi="Times New Roman" w:cs="Times New Roman"/>
          <w:color w:val="222222"/>
          <w:sz w:val="24"/>
          <w:szCs w:val="24"/>
          <w:shd w:val="clear" w:color="auto" w:fill="FFFFFF"/>
        </w:rPr>
      </w:pPr>
      <w:r w:rsidRPr="00996925">
        <w:rPr>
          <w:rFonts w:ascii="Times New Roman" w:hAnsi="Times New Roman" w:cs="Times New Roman"/>
          <w:color w:val="222222"/>
          <w:sz w:val="24"/>
          <w:szCs w:val="24"/>
          <w:shd w:val="clear" w:color="auto" w:fill="FFFFFF"/>
        </w:rPr>
        <w:t>Wilson, P. (2020). Reading Pope's Homer in the 1720s: The Iliad Notes of Philip Doddridge. </w:t>
      </w:r>
      <w:r w:rsidRPr="00996925">
        <w:rPr>
          <w:rFonts w:ascii="Times New Roman" w:hAnsi="Times New Roman" w:cs="Times New Roman"/>
          <w:i/>
          <w:iCs/>
          <w:color w:val="222222"/>
          <w:sz w:val="24"/>
          <w:szCs w:val="24"/>
          <w:shd w:val="clear" w:color="auto" w:fill="FFFFFF"/>
        </w:rPr>
        <w:t>Translation and Literature</w:t>
      </w:r>
      <w:r w:rsidRPr="00996925">
        <w:rPr>
          <w:rFonts w:ascii="Times New Roman" w:hAnsi="Times New Roman" w:cs="Times New Roman"/>
          <w:color w:val="222222"/>
          <w:sz w:val="24"/>
          <w:szCs w:val="24"/>
          <w:shd w:val="clear" w:color="auto" w:fill="FFFFFF"/>
        </w:rPr>
        <w:t>, </w:t>
      </w:r>
      <w:r w:rsidRPr="00996925">
        <w:rPr>
          <w:rFonts w:ascii="Times New Roman" w:hAnsi="Times New Roman" w:cs="Times New Roman"/>
          <w:i/>
          <w:iCs/>
          <w:color w:val="222222"/>
          <w:sz w:val="24"/>
          <w:szCs w:val="24"/>
          <w:shd w:val="clear" w:color="auto" w:fill="FFFFFF"/>
        </w:rPr>
        <w:t>29</w:t>
      </w:r>
      <w:r w:rsidRPr="00996925">
        <w:rPr>
          <w:rFonts w:ascii="Times New Roman" w:hAnsi="Times New Roman" w:cs="Times New Roman"/>
          <w:color w:val="222222"/>
          <w:sz w:val="24"/>
          <w:szCs w:val="24"/>
          <w:shd w:val="clear" w:color="auto" w:fill="FFFFFF"/>
        </w:rPr>
        <w:t>(2), 163-198.</w:t>
      </w:r>
    </w:p>
    <w:p w14:paraId="29FAC51F" w14:textId="77777777" w:rsidR="00C771B2" w:rsidRPr="00996925" w:rsidRDefault="00C771B2" w:rsidP="00C771B2">
      <w:pPr>
        <w:spacing w:line="480" w:lineRule="auto"/>
        <w:ind w:left="720" w:hanging="720"/>
        <w:contextualSpacing/>
        <w:rPr>
          <w:rFonts w:ascii="Times New Roman" w:hAnsi="Times New Roman" w:cs="Times New Roman"/>
          <w:sz w:val="24"/>
          <w:szCs w:val="24"/>
        </w:rPr>
      </w:pPr>
      <w:r w:rsidRPr="00996925">
        <w:rPr>
          <w:rFonts w:ascii="Times New Roman" w:hAnsi="Times New Roman" w:cs="Times New Roman"/>
          <w:color w:val="222222"/>
          <w:sz w:val="24"/>
          <w:szCs w:val="24"/>
          <w:shd w:val="clear" w:color="auto" w:fill="FFFFFF"/>
        </w:rPr>
        <w:t>Zanker, A. T. (2020). Metaphor in the Speech of Achilles (Iliad 9.308–429). </w:t>
      </w:r>
      <w:r w:rsidRPr="00996925">
        <w:rPr>
          <w:rFonts w:ascii="Times New Roman" w:hAnsi="Times New Roman" w:cs="Times New Roman"/>
          <w:i/>
          <w:iCs/>
          <w:color w:val="222222"/>
          <w:sz w:val="24"/>
          <w:szCs w:val="24"/>
          <w:shd w:val="clear" w:color="auto" w:fill="FFFFFF"/>
        </w:rPr>
        <w:t>Yearbook of Ancient Greek Epic Online</w:t>
      </w:r>
      <w:r w:rsidRPr="00996925">
        <w:rPr>
          <w:rFonts w:ascii="Times New Roman" w:hAnsi="Times New Roman" w:cs="Times New Roman"/>
          <w:color w:val="222222"/>
          <w:sz w:val="24"/>
          <w:szCs w:val="24"/>
          <w:shd w:val="clear" w:color="auto" w:fill="FFFFFF"/>
        </w:rPr>
        <w:t>, </w:t>
      </w:r>
      <w:r w:rsidRPr="00996925">
        <w:rPr>
          <w:rFonts w:ascii="Times New Roman" w:hAnsi="Times New Roman" w:cs="Times New Roman"/>
          <w:i/>
          <w:iCs/>
          <w:color w:val="222222"/>
          <w:sz w:val="24"/>
          <w:szCs w:val="24"/>
          <w:shd w:val="clear" w:color="auto" w:fill="FFFFFF"/>
        </w:rPr>
        <w:t>4</w:t>
      </w:r>
      <w:r w:rsidRPr="00996925">
        <w:rPr>
          <w:rFonts w:ascii="Times New Roman" w:hAnsi="Times New Roman" w:cs="Times New Roman"/>
          <w:color w:val="222222"/>
          <w:sz w:val="24"/>
          <w:szCs w:val="24"/>
          <w:shd w:val="clear" w:color="auto" w:fill="FFFFFF"/>
        </w:rPr>
        <w:t>(1), 95-121.</w:t>
      </w:r>
    </w:p>
    <w:p w14:paraId="14690F94" w14:textId="77777777" w:rsidR="00C771B2" w:rsidRPr="00996925" w:rsidRDefault="00C771B2" w:rsidP="00C771B2">
      <w:pPr>
        <w:spacing w:line="480" w:lineRule="auto"/>
        <w:contextualSpacing/>
        <w:rPr>
          <w:rFonts w:ascii="Times New Roman" w:hAnsi="Times New Roman" w:cs="Times New Roman"/>
          <w:sz w:val="24"/>
          <w:szCs w:val="24"/>
        </w:rPr>
      </w:pPr>
    </w:p>
    <w:p w14:paraId="0423A366" w14:textId="77777777" w:rsidR="0068416F" w:rsidRPr="00C771B2" w:rsidRDefault="0068416F" w:rsidP="00C771B2">
      <w:pPr>
        <w:spacing w:line="480" w:lineRule="auto"/>
        <w:contextualSpacing/>
        <w:rPr>
          <w:rFonts w:ascii="Times New Roman" w:hAnsi="Times New Roman" w:cs="Times New Roman"/>
          <w:sz w:val="24"/>
          <w:szCs w:val="24"/>
        </w:rPr>
      </w:pPr>
    </w:p>
    <w:sectPr w:rsidR="0068416F" w:rsidRPr="00C771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9A9881" w14:textId="77777777" w:rsidR="006404D7" w:rsidRDefault="006404D7" w:rsidP="00C771B2">
      <w:pPr>
        <w:spacing w:after="0" w:line="240" w:lineRule="auto"/>
      </w:pPr>
      <w:r>
        <w:separator/>
      </w:r>
    </w:p>
  </w:endnote>
  <w:endnote w:type="continuationSeparator" w:id="0">
    <w:p w14:paraId="571A0CF6" w14:textId="77777777" w:rsidR="006404D7" w:rsidRDefault="006404D7" w:rsidP="00C77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2B6D7" w14:textId="77777777" w:rsidR="006404D7" w:rsidRDefault="006404D7" w:rsidP="00C771B2">
      <w:pPr>
        <w:spacing w:after="0" w:line="240" w:lineRule="auto"/>
      </w:pPr>
      <w:r>
        <w:separator/>
      </w:r>
    </w:p>
  </w:footnote>
  <w:footnote w:type="continuationSeparator" w:id="0">
    <w:p w14:paraId="0390002F" w14:textId="77777777" w:rsidR="006404D7" w:rsidRDefault="006404D7" w:rsidP="00C77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0E68F" w14:textId="45E90808" w:rsidR="00C771B2" w:rsidRPr="00C771B2" w:rsidRDefault="00C771B2">
    <w:pPr>
      <w:pStyle w:val="Header"/>
      <w:jc w:val="right"/>
      <w:rPr>
        <w:rFonts w:ascii="Times New Roman" w:hAnsi="Times New Roman" w:cs="Times New Roman"/>
      </w:rPr>
    </w:pPr>
    <w:r w:rsidRPr="00C771B2">
      <w:rPr>
        <w:rFonts w:ascii="Times New Roman" w:hAnsi="Times New Roman" w:cs="Times New Roman"/>
      </w:rPr>
      <w:t xml:space="preserve"> SURNAME </w:t>
    </w:r>
    <w:sdt>
      <w:sdtPr>
        <w:rPr>
          <w:rFonts w:ascii="Times New Roman" w:hAnsi="Times New Roman" w:cs="Times New Roman"/>
        </w:rPr>
        <w:id w:val="-1493786734"/>
        <w:docPartObj>
          <w:docPartGallery w:val="Page Numbers (Top of Page)"/>
          <w:docPartUnique/>
        </w:docPartObj>
      </w:sdtPr>
      <w:sdtEndPr>
        <w:rPr>
          <w:noProof/>
        </w:rPr>
      </w:sdtEndPr>
      <w:sdtContent>
        <w:r w:rsidRPr="00C771B2">
          <w:rPr>
            <w:rFonts w:ascii="Times New Roman" w:hAnsi="Times New Roman" w:cs="Times New Roman"/>
          </w:rPr>
          <w:fldChar w:fldCharType="begin"/>
        </w:r>
        <w:r w:rsidRPr="00C771B2">
          <w:rPr>
            <w:rFonts w:ascii="Times New Roman" w:hAnsi="Times New Roman" w:cs="Times New Roman"/>
          </w:rPr>
          <w:instrText xml:space="preserve"> PAGE   \* MERGEFORMAT </w:instrText>
        </w:r>
        <w:r w:rsidRPr="00C771B2">
          <w:rPr>
            <w:rFonts w:ascii="Times New Roman" w:hAnsi="Times New Roman" w:cs="Times New Roman"/>
          </w:rPr>
          <w:fldChar w:fldCharType="separate"/>
        </w:r>
        <w:r w:rsidRPr="00C771B2">
          <w:rPr>
            <w:rFonts w:ascii="Times New Roman" w:hAnsi="Times New Roman" w:cs="Times New Roman"/>
            <w:noProof/>
          </w:rPr>
          <w:t>2</w:t>
        </w:r>
        <w:r w:rsidRPr="00C771B2">
          <w:rPr>
            <w:rFonts w:ascii="Times New Roman" w:hAnsi="Times New Roman" w:cs="Times New Roman"/>
            <w:noProof/>
          </w:rPr>
          <w:fldChar w:fldCharType="end"/>
        </w:r>
      </w:sdtContent>
    </w:sdt>
  </w:p>
  <w:p w14:paraId="4B29D111" w14:textId="77777777" w:rsidR="00C771B2" w:rsidRDefault="00C771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zMjKzNDE0NTIwNzBR0lEKTi0uzszPAykwrAUAcJ55YywAAAA="/>
  </w:docVars>
  <w:rsids>
    <w:rsidRoot w:val="00C771B2"/>
    <w:rsid w:val="002848E0"/>
    <w:rsid w:val="006404D7"/>
    <w:rsid w:val="0068416F"/>
    <w:rsid w:val="00AE2D6B"/>
    <w:rsid w:val="00C77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4C94"/>
  <w15:chartTrackingRefBased/>
  <w15:docId w15:val="{91E768A2-1589-4F2F-8F59-7867977F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1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7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1B2"/>
  </w:style>
  <w:style w:type="paragraph" w:styleId="Footer">
    <w:name w:val="footer"/>
    <w:basedOn w:val="Normal"/>
    <w:link w:val="FooterChar"/>
    <w:uiPriority w:val="99"/>
    <w:unhideWhenUsed/>
    <w:rsid w:val="00C77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1394</Words>
  <Characters>7952</Characters>
  <Application>Microsoft Office Word</Application>
  <DocSecurity>0</DocSecurity>
  <Lines>66</Lines>
  <Paragraphs>18</Paragraphs>
  <ScaleCrop>false</ScaleCrop>
  <Company/>
  <LinksUpToDate>false</LinksUpToDate>
  <CharactersWithSpaces>9328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dc:creator>
  <cp:keywords/>
  <dc:description/>
  <cp:lastModifiedBy>254716226303</cp:lastModifiedBy>
  <cp:revision>2</cp:revision>
  <dcterms:created xsi:type="dcterms:W3CDTF">2020-11-23T16:38:00Z</dcterms:created>
  <dcterms:modified xsi:type="dcterms:W3CDTF">2020-11-23T16:38:00Z</dcterms:modified>
</cp:coreProperties>
</file>