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AF273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 Summary</w:t>
      </w: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Pr="007145C9" w:rsidRDefault="00AF273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45C9">
        <w:rPr>
          <w:rFonts w:ascii="Times New Roman" w:hAnsi="Times New Roman" w:cs="Times New Roman"/>
          <w:sz w:val="24"/>
          <w:szCs w:val="24"/>
        </w:rPr>
        <w:t>Name</w:t>
      </w:r>
    </w:p>
    <w:p w:rsidR="007145C9" w:rsidRPr="007145C9" w:rsidRDefault="00AF273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45C9">
        <w:rPr>
          <w:rFonts w:ascii="Times New Roman" w:hAnsi="Times New Roman" w:cs="Times New Roman"/>
          <w:sz w:val="24"/>
          <w:szCs w:val="24"/>
        </w:rPr>
        <w:t>Institution</w:t>
      </w:r>
    </w:p>
    <w:p w:rsidR="007145C9" w:rsidRPr="007145C9" w:rsidRDefault="00AF273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45C9">
        <w:rPr>
          <w:rFonts w:ascii="Times New Roman" w:hAnsi="Times New Roman" w:cs="Times New Roman"/>
          <w:sz w:val="24"/>
          <w:szCs w:val="24"/>
        </w:rPr>
        <w:t>Course</w:t>
      </w:r>
    </w:p>
    <w:p w:rsidR="007145C9" w:rsidRPr="007145C9" w:rsidRDefault="00AF273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45C9">
        <w:rPr>
          <w:rFonts w:ascii="Times New Roman" w:hAnsi="Times New Roman" w:cs="Times New Roman"/>
          <w:sz w:val="24"/>
          <w:szCs w:val="24"/>
        </w:rPr>
        <w:t>Instructor</w:t>
      </w:r>
    </w:p>
    <w:p w:rsidR="007145C9" w:rsidRPr="007145C9" w:rsidRDefault="00AF273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45C9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145C9" w:rsidRPr="007145C9" w:rsidRDefault="007145C9" w:rsidP="00656AF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7145C9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7145C9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5C9" w:rsidRDefault="007145C9" w:rsidP="00656AF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6E0" w:rsidRDefault="00AF2739" w:rsidP="00F416E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Article Summary</w:t>
      </w:r>
    </w:p>
    <w:p w:rsidR="00061413" w:rsidRDefault="00AF2739" w:rsidP="00CE3BE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F416E0">
        <w:rPr>
          <w:rFonts w:ascii="Times New Roman" w:hAnsi="Times New Roman" w:cs="Times New Roman"/>
          <w:sz w:val="24"/>
          <w:szCs w:val="24"/>
        </w:rPr>
        <w:t xml:space="preserve">in discussion </w:t>
      </w:r>
      <w:r w:rsidR="001C1207">
        <w:rPr>
          <w:rFonts w:ascii="Times New Roman" w:hAnsi="Times New Roman" w:cs="Times New Roman"/>
          <w:sz w:val="24"/>
          <w:szCs w:val="24"/>
        </w:rPr>
        <w:t>on limits as well</w:t>
      </w:r>
      <w:r w:rsidR="001C1207" w:rsidRPr="00893042">
        <w:rPr>
          <w:rFonts w:ascii="Times New Roman" w:hAnsi="Times New Roman" w:cs="Times New Roman"/>
          <w:sz w:val="24"/>
          <w:szCs w:val="24"/>
        </w:rPr>
        <w:t xml:space="preserve"> constrai</w:t>
      </w:r>
      <w:r w:rsidR="001C1207">
        <w:rPr>
          <w:rFonts w:ascii="Times New Roman" w:hAnsi="Times New Roman" w:cs="Times New Roman"/>
          <w:sz w:val="24"/>
          <w:szCs w:val="24"/>
        </w:rPr>
        <w:t xml:space="preserve">nts on various </w:t>
      </w:r>
      <w:r w:rsidR="001D37D3">
        <w:rPr>
          <w:rFonts w:ascii="Times New Roman" w:hAnsi="Times New Roman" w:cs="Times New Roman"/>
          <w:sz w:val="24"/>
          <w:szCs w:val="24"/>
        </w:rPr>
        <w:t>operations</w:t>
      </w:r>
      <w:r w:rsidR="001C1207">
        <w:rPr>
          <w:rFonts w:ascii="Times New Roman" w:hAnsi="Times New Roman" w:cs="Times New Roman"/>
          <w:sz w:val="24"/>
          <w:szCs w:val="24"/>
        </w:rPr>
        <w:t xml:space="preserve"> of cell-cycle regulation inflicted</w:t>
      </w:r>
      <w:r w:rsidR="001D37D3">
        <w:rPr>
          <w:rFonts w:ascii="Times New Roman" w:hAnsi="Times New Roman" w:cs="Times New Roman"/>
          <w:sz w:val="24"/>
          <w:szCs w:val="24"/>
        </w:rPr>
        <w:t xml:space="preserve"> through</w:t>
      </w:r>
      <w:r w:rsidR="001C1207" w:rsidRPr="00893042">
        <w:rPr>
          <w:rFonts w:ascii="Times New Roman" w:hAnsi="Times New Roman" w:cs="Times New Roman"/>
          <w:sz w:val="24"/>
          <w:szCs w:val="24"/>
        </w:rPr>
        <w:t xml:space="preserve"> cell size-homeostasis</w:t>
      </w:r>
      <w:r w:rsidR="001C1207">
        <w:rPr>
          <w:rFonts w:ascii="Times New Roman" w:hAnsi="Times New Roman" w:cs="Times New Roman"/>
          <w:sz w:val="24"/>
          <w:szCs w:val="24"/>
        </w:rPr>
        <w:t xml:space="preserve"> </w:t>
      </w:r>
      <w:r w:rsidR="001D37D3">
        <w:rPr>
          <w:rFonts w:ascii="Times New Roman" w:hAnsi="Times New Roman" w:cs="Times New Roman"/>
          <w:sz w:val="24"/>
          <w:szCs w:val="24"/>
        </w:rPr>
        <w:t>quantifications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16E0">
        <w:rPr>
          <w:rFonts w:ascii="Times New Roman" w:hAnsi="Times New Roman" w:cs="Times New Roman"/>
          <w:sz w:val="24"/>
          <w:szCs w:val="24"/>
        </w:rPr>
        <w:t xml:space="preserve">is </w:t>
      </w:r>
      <w:r w:rsidR="001C1207">
        <w:rPr>
          <w:rFonts w:ascii="Times New Roman" w:hAnsi="Times New Roman" w:cs="Times New Roman"/>
          <w:sz w:val="24"/>
          <w:szCs w:val="24"/>
        </w:rPr>
        <w:t xml:space="preserve">written by Willis et al. (2020). </w:t>
      </w:r>
      <w:r w:rsidR="003C0AE7">
        <w:rPr>
          <w:rFonts w:ascii="Times New Roman" w:hAnsi="Times New Roman" w:cs="Times New Roman"/>
          <w:sz w:val="24"/>
          <w:szCs w:val="24"/>
        </w:rPr>
        <w:t xml:space="preserve">Cell-size homeostasis has been </w:t>
      </w:r>
      <w:r w:rsidR="004D742A">
        <w:rPr>
          <w:rFonts w:ascii="Times New Roman" w:hAnsi="Times New Roman" w:cs="Times New Roman"/>
          <w:sz w:val="24"/>
          <w:szCs w:val="24"/>
        </w:rPr>
        <w:t xml:space="preserve">highly </w:t>
      </w:r>
      <w:r w:rsidR="003C0AE7">
        <w:rPr>
          <w:rFonts w:ascii="Times New Roman" w:hAnsi="Times New Roman" w:cs="Times New Roman"/>
          <w:sz w:val="24"/>
          <w:szCs w:val="24"/>
        </w:rPr>
        <w:t>observed through high-throu</w:t>
      </w:r>
      <w:r w:rsidR="004D742A">
        <w:rPr>
          <w:rFonts w:ascii="Times New Roman" w:hAnsi="Times New Roman" w:cs="Times New Roman"/>
          <w:sz w:val="24"/>
          <w:szCs w:val="24"/>
        </w:rPr>
        <w:t>ghput imaging in almost all kingdoms of life.</w:t>
      </w:r>
      <w:r w:rsidR="007C01D7">
        <w:rPr>
          <w:rFonts w:ascii="Times New Roman" w:hAnsi="Times New Roman" w:cs="Times New Roman"/>
          <w:sz w:val="24"/>
          <w:szCs w:val="24"/>
        </w:rPr>
        <w:t xml:space="preserve"> During each cell-cycle of a bacteria, the “adder” behavior is said to increase in size </w:t>
      </w:r>
      <w:r w:rsidR="003541E7">
        <w:rPr>
          <w:rFonts w:ascii="Times New Roman" w:hAnsi="Times New Roman" w:cs="Times New Roman"/>
          <w:sz w:val="24"/>
          <w:szCs w:val="24"/>
        </w:rPr>
        <w:t xml:space="preserve">continuously. On the other hand, eukaryotes exhibit other size-homeostasis behavior. </w:t>
      </w:r>
      <w:r w:rsidR="008D2DE9">
        <w:rPr>
          <w:rFonts w:ascii="Times New Roman" w:hAnsi="Times New Roman" w:cs="Times New Roman"/>
          <w:sz w:val="24"/>
          <w:szCs w:val="24"/>
        </w:rPr>
        <w:t xml:space="preserve">Hence, a general model is developed to help in the cell-cycle regulation because the interactions between growth and cell-cycle progression </w:t>
      </w:r>
      <w:r w:rsidR="00F04145">
        <w:rPr>
          <w:rFonts w:ascii="Times New Roman" w:hAnsi="Times New Roman" w:cs="Times New Roman"/>
          <w:sz w:val="24"/>
          <w:szCs w:val="24"/>
        </w:rPr>
        <w:t xml:space="preserve">determine the mentioned behaviors. </w:t>
      </w:r>
      <w:r w:rsidR="00485BE0">
        <w:rPr>
          <w:rFonts w:ascii="Times New Roman" w:hAnsi="Times New Roman" w:cs="Times New Roman"/>
          <w:sz w:val="24"/>
          <w:szCs w:val="24"/>
        </w:rPr>
        <w:t xml:space="preserve">According to the article's analysis, </w:t>
      </w:r>
      <w:r w:rsidR="006C4E40">
        <w:rPr>
          <w:rFonts w:ascii="Times New Roman" w:hAnsi="Times New Roman" w:cs="Times New Roman"/>
          <w:sz w:val="24"/>
          <w:szCs w:val="24"/>
        </w:rPr>
        <w:t xml:space="preserve">several </w:t>
      </w:r>
      <w:r w:rsidR="000C096D">
        <w:rPr>
          <w:rFonts w:ascii="Times New Roman" w:hAnsi="Times New Roman" w:cs="Times New Roman"/>
          <w:sz w:val="24"/>
          <w:szCs w:val="24"/>
        </w:rPr>
        <w:t>scenarios</w:t>
      </w:r>
      <w:r w:rsidR="006C4E40">
        <w:rPr>
          <w:rFonts w:ascii="Times New Roman" w:hAnsi="Times New Roman" w:cs="Times New Roman"/>
          <w:sz w:val="24"/>
          <w:szCs w:val="24"/>
        </w:rPr>
        <w:t xml:space="preserve"> fa</w:t>
      </w:r>
      <w:r w:rsidR="000C096D">
        <w:rPr>
          <w:rFonts w:ascii="Times New Roman" w:hAnsi="Times New Roman" w:cs="Times New Roman"/>
          <w:sz w:val="24"/>
          <w:szCs w:val="24"/>
        </w:rPr>
        <w:t>il in the regulation of cell siz</w:t>
      </w:r>
      <w:r w:rsidR="006C4E40">
        <w:rPr>
          <w:rFonts w:ascii="Times New Roman" w:hAnsi="Times New Roman" w:cs="Times New Roman"/>
          <w:sz w:val="24"/>
          <w:szCs w:val="24"/>
        </w:rPr>
        <w:t xml:space="preserve">e because </w:t>
      </w:r>
      <w:r w:rsidR="000C096D">
        <w:rPr>
          <w:rFonts w:ascii="Times New Roman" w:hAnsi="Times New Roman" w:cs="Times New Roman"/>
          <w:sz w:val="24"/>
          <w:szCs w:val="24"/>
        </w:rPr>
        <w:t>they</w:t>
      </w:r>
      <w:r w:rsidR="006C4E40">
        <w:rPr>
          <w:rFonts w:ascii="Times New Roman" w:hAnsi="Times New Roman" w:cs="Times New Roman"/>
          <w:sz w:val="24"/>
          <w:szCs w:val="24"/>
        </w:rPr>
        <w:t xml:space="preserve"> are plausible. This means that </w:t>
      </w:r>
      <w:r w:rsidR="000C096D">
        <w:rPr>
          <w:rFonts w:ascii="Times New Roman" w:hAnsi="Times New Roman" w:cs="Times New Roman"/>
          <w:sz w:val="24"/>
          <w:szCs w:val="24"/>
        </w:rPr>
        <w:t xml:space="preserve">the regulation of </w:t>
      </w:r>
      <w:r w:rsidR="006C4E40">
        <w:rPr>
          <w:rFonts w:ascii="Times New Roman" w:hAnsi="Times New Roman" w:cs="Times New Roman"/>
          <w:sz w:val="24"/>
          <w:szCs w:val="24"/>
        </w:rPr>
        <w:t xml:space="preserve">cell-cycle mechanisms </w:t>
      </w:r>
      <w:r w:rsidR="00B44C77">
        <w:rPr>
          <w:rFonts w:ascii="Times New Roman" w:hAnsi="Times New Roman" w:cs="Times New Roman"/>
          <w:sz w:val="24"/>
          <w:szCs w:val="24"/>
        </w:rPr>
        <w:t xml:space="preserve">is limited due to the requirements of the size-control and </w:t>
      </w:r>
      <w:r w:rsidR="00DD76A6">
        <w:rPr>
          <w:rFonts w:ascii="Times New Roman" w:hAnsi="Times New Roman" w:cs="Times New Roman"/>
          <w:sz w:val="24"/>
          <w:szCs w:val="24"/>
        </w:rPr>
        <w:t>the features of the cell-cycle, which are conserved strongly</w:t>
      </w:r>
      <w:r w:rsidR="007145C9">
        <w:rPr>
          <w:rFonts w:ascii="Times New Roman" w:hAnsi="Times New Roman" w:cs="Times New Roman"/>
          <w:sz w:val="24"/>
          <w:szCs w:val="24"/>
        </w:rPr>
        <w:t xml:space="preserve"> </w:t>
      </w:r>
      <w:r w:rsidR="007145C9" w:rsidRPr="007145C9">
        <w:rPr>
          <w:rFonts w:ascii="Times New Roman" w:hAnsi="Times New Roman" w:cs="Times New Roman"/>
          <w:sz w:val="24"/>
          <w:szCs w:val="24"/>
        </w:rPr>
        <w:t>(Willis et al., 2020)</w:t>
      </w:r>
      <w:r w:rsidR="00DD76A6">
        <w:rPr>
          <w:rFonts w:ascii="Times New Roman" w:hAnsi="Times New Roman" w:cs="Times New Roman"/>
          <w:sz w:val="24"/>
          <w:szCs w:val="24"/>
        </w:rPr>
        <w:t xml:space="preserve">. Certain roles can be played </w:t>
      </w:r>
      <w:r w:rsidR="00B71B57">
        <w:rPr>
          <w:rFonts w:ascii="Times New Roman" w:hAnsi="Times New Roman" w:cs="Times New Roman"/>
          <w:sz w:val="24"/>
          <w:szCs w:val="24"/>
        </w:rPr>
        <w:t xml:space="preserve">by cell-cycle </w:t>
      </w:r>
      <w:r w:rsidR="00FE182C">
        <w:rPr>
          <w:rFonts w:ascii="Times New Roman" w:hAnsi="Times New Roman" w:cs="Times New Roman"/>
          <w:sz w:val="24"/>
          <w:szCs w:val="24"/>
        </w:rPr>
        <w:t xml:space="preserve">features </w:t>
      </w:r>
      <w:r w:rsidR="00B71B57">
        <w:rPr>
          <w:rFonts w:ascii="Times New Roman" w:hAnsi="Times New Roman" w:cs="Times New Roman"/>
          <w:sz w:val="24"/>
          <w:szCs w:val="24"/>
        </w:rPr>
        <w:t xml:space="preserve">by altering the behaviors of size-homeostasis. </w:t>
      </w:r>
      <w:r w:rsidR="00FE182C">
        <w:rPr>
          <w:rFonts w:ascii="Times New Roman" w:hAnsi="Times New Roman" w:cs="Times New Roman"/>
          <w:sz w:val="24"/>
          <w:szCs w:val="24"/>
        </w:rPr>
        <w:t xml:space="preserve">First, the noisy regulator's production could </w:t>
      </w:r>
      <w:r w:rsidR="009822B3">
        <w:rPr>
          <w:rFonts w:ascii="Times New Roman" w:hAnsi="Times New Roman" w:cs="Times New Roman"/>
          <w:sz w:val="24"/>
          <w:szCs w:val="24"/>
        </w:rPr>
        <w:t xml:space="preserve">lead to adder behavior; some </w:t>
      </w:r>
      <w:r w:rsidR="00DD0D22">
        <w:rPr>
          <w:rFonts w:ascii="Times New Roman" w:hAnsi="Times New Roman" w:cs="Times New Roman"/>
          <w:sz w:val="24"/>
          <w:szCs w:val="24"/>
        </w:rPr>
        <w:t>inhibitor</w:t>
      </w:r>
      <w:r w:rsidR="009016A4">
        <w:rPr>
          <w:rFonts w:ascii="Times New Roman" w:hAnsi="Times New Roman" w:cs="Times New Roman"/>
          <w:sz w:val="24"/>
          <w:szCs w:val="24"/>
        </w:rPr>
        <w:t>s such as the Whi5</w:t>
      </w:r>
      <w:r w:rsidR="00DD0D22">
        <w:rPr>
          <w:rFonts w:ascii="Times New Roman" w:hAnsi="Times New Roman" w:cs="Times New Roman"/>
          <w:sz w:val="24"/>
          <w:szCs w:val="24"/>
        </w:rPr>
        <w:t xml:space="preserve"> react</w:t>
      </w:r>
      <w:r w:rsidR="009822B3">
        <w:rPr>
          <w:rFonts w:ascii="Times New Roman" w:hAnsi="Times New Roman" w:cs="Times New Roman"/>
          <w:sz w:val="24"/>
          <w:szCs w:val="24"/>
        </w:rPr>
        <w:t xml:space="preserve"> sensitively </w:t>
      </w:r>
      <w:r w:rsidR="005A14DD">
        <w:rPr>
          <w:rFonts w:ascii="Times New Roman" w:hAnsi="Times New Roman" w:cs="Times New Roman"/>
          <w:sz w:val="24"/>
          <w:szCs w:val="24"/>
        </w:rPr>
        <w:t>when exposed to noisy G1/S checkpoints and G2/M</w:t>
      </w:r>
      <w:r w:rsidR="00DD0D22">
        <w:rPr>
          <w:rFonts w:ascii="Times New Roman" w:hAnsi="Times New Roman" w:cs="Times New Roman"/>
          <w:sz w:val="24"/>
          <w:szCs w:val="24"/>
        </w:rPr>
        <w:t xml:space="preserve"> </w:t>
      </w:r>
      <w:r w:rsidR="005A14DD">
        <w:rPr>
          <w:rFonts w:ascii="Times New Roman" w:hAnsi="Times New Roman" w:cs="Times New Roman"/>
          <w:sz w:val="24"/>
          <w:szCs w:val="24"/>
        </w:rPr>
        <w:t>control</w:t>
      </w:r>
      <w:r w:rsidR="00A55DF1">
        <w:rPr>
          <w:rFonts w:ascii="Times New Roman" w:hAnsi="Times New Roman" w:cs="Times New Roman"/>
          <w:sz w:val="24"/>
          <w:szCs w:val="24"/>
        </w:rPr>
        <w:t xml:space="preserve">. Therefore, the model used in this article offers holistic knowledge of the mechanistic implications </w:t>
      </w:r>
      <w:r w:rsidR="003C0AE7">
        <w:rPr>
          <w:rFonts w:ascii="Times New Roman" w:hAnsi="Times New Roman" w:cs="Times New Roman"/>
          <w:sz w:val="24"/>
          <w:szCs w:val="24"/>
        </w:rPr>
        <w:t xml:space="preserve">of the experimental measurements done in size-homeostasis. </w:t>
      </w:r>
    </w:p>
    <w:p w:rsidR="003943EC" w:rsidRDefault="00AF2739" w:rsidP="00656AF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organisms used in the article are budding and fission</w:t>
      </w:r>
      <w:r w:rsidR="00F416E0">
        <w:rPr>
          <w:rFonts w:ascii="Times New Roman" w:hAnsi="Times New Roman" w:cs="Times New Roman"/>
          <w:sz w:val="24"/>
          <w:szCs w:val="24"/>
        </w:rPr>
        <w:t xml:space="preserve"> yeast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14DD">
        <w:rPr>
          <w:rFonts w:ascii="Times New Roman" w:hAnsi="Times New Roman" w:cs="Times New Roman"/>
          <w:sz w:val="24"/>
          <w:szCs w:val="24"/>
        </w:rPr>
        <w:t xml:space="preserve"> </w:t>
      </w:r>
      <w:r w:rsidR="009016A4">
        <w:rPr>
          <w:rFonts w:ascii="Times New Roman" w:hAnsi="Times New Roman" w:cs="Times New Roman"/>
          <w:sz w:val="24"/>
          <w:szCs w:val="24"/>
        </w:rPr>
        <w:t xml:space="preserve">The </w:t>
      </w:r>
      <w:r w:rsidR="002A7678">
        <w:rPr>
          <w:rFonts w:ascii="Times New Roman" w:hAnsi="Times New Roman" w:cs="Times New Roman"/>
          <w:sz w:val="24"/>
          <w:szCs w:val="24"/>
        </w:rPr>
        <w:t>model</w:t>
      </w:r>
      <w:r w:rsidR="00A17EDF">
        <w:rPr>
          <w:rFonts w:ascii="Times New Roman" w:hAnsi="Times New Roman" w:cs="Times New Roman"/>
          <w:sz w:val="24"/>
          <w:szCs w:val="24"/>
        </w:rPr>
        <w:t xml:space="preserve"> determines the </w:t>
      </w:r>
      <w:r w:rsidR="002A7678">
        <w:rPr>
          <w:rFonts w:ascii="Times New Roman" w:hAnsi="Times New Roman" w:cs="Times New Roman"/>
          <w:sz w:val="24"/>
          <w:szCs w:val="24"/>
        </w:rPr>
        <w:t xml:space="preserve">checkpoint regulators </w:t>
      </w:r>
      <w:r w:rsidR="00A17EDF">
        <w:rPr>
          <w:rFonts w:ascii="Times New Roman" w:hAnsi="Times New Roman" w:cs="Times New Roman"/>
          <w:sz w:val="24"/>
          <w:szCs w:val="24"/>
        </w:rPr>
        <w:t xml:space="preserve">in two types </w:t>
      </w:r>
      <w:r w:rsidR="002A7678">
        <w:rPr>
          <w:rFonts w:ascii="Times New Roman" w:hAnsi="Times New Roman" w:cs="Times New Roman"/>
          <w:sz w:val="24"/>
          <w:szCs w:val="24"/>
        </w:rPr>
        <w:t>available in the cell-cycle.</w:t>
      </w:r>
      <w:r w:rsidR="00A17EDF">
        <w:rPr>
          <w:rFonts w:ascii="Times New Roman" w:hAnsi="Times New Roman" w:cs="Times New Roman"/>
          <w:sz w:val="24"/>
          <w:szCs w:val="24"/>
        </w:rPr>
        <w:t xml:space="preserve"> The</w:t>
      </w:r>
      <w:r w:rsidR="00762B2E">
        <w:rPr>
          <w:rFonts w:ascii="Times New Roman" w:hAnsi="Times New Roman" w:cs="Times New Roman"/>
          <w:sz w:val="24"/>
          <w:szCs w:val="24"/>
        </w:rPr>
        <w:t xml:space="preserve"> master regulato</w:t>
      </w:r>
      <w:r w:rsidR="00A17EDF">
        <w:rPr>
          <w:rFonts w:ascii="Times New Roman" w:hAnsi="Times New Roman" w:cs="Times New Roman"/>
          <w:sz w:val="24"/>
          <w:szCs w:val="24"/>
        </w:rPr>
        <w:t xml:space="preserve">r is described within the </w:t>
      </w:r>
      <w:r w:rsidR="003A0219">
        <w:rPr>
          <w:rFonts w:ascii="Times New Roman" w:hAnsi="Times New Roman" w:cs="Times New Roman"/>
          <w:sz w:val="24"/>
          <w:szCs w:val="24"/>
        </w:rPr>
        <w:t xml:space="preserve">first type, </w:t>
      </w:r>
      <w:r w:rsidR="00A17EDF">
        <w:rPr>
          <w:rFonts w:ascii="Times New Roman" w:hAnsi="Times New Roman" w:cs="Times New Roman"/>
          <w:sz w:val="24"/>
          <w:szCs w:val="24"/>
        </w:rPr>
        <w:t xml:space="preserve">which </w:t>
      </w:r>
      <w:r w:rsidR="00521E77">
        <w:rPr>
          <w:rFonts w:ascii="Times New Roman" w:hAnsi="Times New Roman" w:cs="Times New Roman"/>
          <w:sz w:val="24"/>
          <w:szCs w:val="24"/>
        </w:rPr>
        <w:t>triggers</w:t>
      </w:r>
      <w:r w:rsidR="00375AE6">
        <w:rPr>
          <w:rFonts w:ascii="Times New Roman" w:hAnsi="Times New Roman" w:cs="Times New Roman"/>
          <w:sz w:val="24"/>
          <w:szCs w:val="24"/>
        </w:rPr>
        <w:t xml:space="preserve"> </w:t>
      </w:r>
      <w:r w:rsidR="00FF685C">
        <w:rPr>
          <w:rFonts w:ascii="Times New Roman" w:hAnsi="Times New Roman" w:cs="Times New Roman"/>
          <w:sz w:val="24"/>
          <w:szCs w:val="24"/>
        </w:rPr>
        <w:t xml:space="preserve">G2/M or G1/S progression </w:t>
      </w:r>
      <w:r w:rsidR="004F79A9">
        <w:rPr>
          <w:rFonts w:ascii="Times New Roman" w:hAnsi="Times New Roman" w:cs="Times New Roman"/>
          <w:sz w:val="24"/>
          <w:szCs w:val="24"/>
        </w:rPr>
        <w:t xml:space="preserve">of the cellular </w:t>
      </w:r>
      <w:r w:rsidR="00521E77">
        <w:rPr>
          <w:rFonts w:ascii="Times New Roman" w:hAnsi="Times New Roman" w:cs="Times New Roman"/>
          <w:sz w:val="24"/>
          <w:szCs w:val="24"/>
        </w:rPr>
        <w:t>region</w:t>
      </w:r>
      <w:r w:rsidR="004F79A9">
        <w:rPr>
          <w:rFonts w:ascii="Times New Roman" w:hAnsi="Times New Roman" w:cs="Times New Roman"/>
          <w:sz w:val="24"/>
          <w:szCs w:val="24"/>
        </w:rPr>
        <w:t xml:space="preserve"> at a fixed </w:t>
      </w:r>
      <w:r w:rsidR="00C81006">
        <w:rPr>
          <w:rFonts w:ascii="Times New Roman" w:hAnsi="Times New Roman" w:cs="Times New Roman"/>
          <w:sz w:val="24"/>
          <w:szCs w:val="24"/>
        </w:rPr>
        <w:t>t</w:t>
      </w:r>
      <w:r w:rsidR="00521E77">
        <w:rPr>
          <w:rFonts w:ascii="Times New Roman" w:hAnsi="Times New Roman" w:cs="Times New Roman"/>
          <w:sz w:val="24"/>
          <w:szCs w:val="24"/>
        </w:rPr>
        <w:t xml:space="preserve">hreshold intracellular destiny </w:t>
      </w:r>
      <w:r w:rsidR="00C81006">
        <w:rPr>
          <w:rFonts w:ascii="Times New Roman" w:hAnsi="Times New Roman" w:cs="Times New Roman"/>
          <w:sz w:val="24"/>
          <w:szCs w:val="24"/>
        </w:rPr>
        <w:t>after accumulating from</w:t>
      </w:r>
      <w:r w:rsidR="00FF685C">
        <w:rPr>
          <w:rFonts w:ascii="Times New Roman" w:hAnsi="Times New Roman" w:cs="Times New Roman"/>
          <w:sz w:val="24"/>
          <w:szCs w:val="24"/>
        </w:rPr>
        <w:t xml:space="preserve"> zero</w:t>
      </w:r>
      <w:r w:rsidR="003350B3">
        <w:rPr>
          <w:rFonts w:ascii="Times New Roman" w:hAnsi="Times New Roman" w:cs="Times New Roman"/>
          <w:sz w:val="24"/>
          <w:szCs w:val="24"/>
        </w:rPr>
        <w:t xml:space="preserve"> (</w:t>
      </w:r>
      <w:r w:rsidR="00521E77">
        <w:rPr>
          <w:rFonts w:ascii="Times New Roman" w:hAnsi="Times New Roman" w:cs="Times New Roman"/>
          <w:sz w:val="24"/>
          <w:szCs w:val="24"/>
        </w:rPr>
        <w:t>Figure</w:t>
      </w:r>
      <w:r w:rsidR="003350B3">
        <w:rPr>
          <w:rFonts w:ascii="Times New Roman" w:hAnsi="Times New Roman" w:cs="Times New Roman"/>
          <w:sz w:val="24"/>
          <w:szCs w:val="24"/>
        </w:rPr>
        <w:t xml:space="preserve"> 1A).</w:t>
      </w:r>
      <w:r w:rsidR="00FF685C">
        <w:rPr>
          <w:rFonts w:ascii="Times New Roman" w:hAnsi="Times New Roman" w:cs="Times New Roman"/>
          <w:sz w:val="24"/>
          <w:szCs w:val="24"/>
        </w:rPr>
        <w:t xml:space="preserve"> This leads to </w:t>
      </w:r>
      <w:r w:rsidR="003350B3">
        <w:rPr>
          <w:rFonts w:ascii="Times New Roman" w:hAnsi="Times New Roman" w:cs="Times New Roman"/>
          <w:sz w:val="24"/>
          <w:szCs w:val="24"/>
        </w:rPr>
        <w:t>the increase of cell-size S as SIT</w:t>
      </w:r>
      <w:r w:rsidR="00C81006">
        <w:rPr>
          <w:rFonts w:ascii="Times New Roman" w:hAnsi="Times New Roman" w:cs="Times New Roman"/>
          <w:sz w:val="24"/>
          <w:szCs w:val="24"/>
        </w:rPr>
        <w:t xml:space="preserve"> when it is then degraded to zero. </w:t>
      </w:r>
      <w:r w:rsidR="003A0219">
        <w:rPr>
          <w:rFonts w:ascii="Times New Roman" w:hAnsi="Times New Roman" w:cs="Times New Roman"/>
          <w:sz w:val="24"/>
          <w:szCs w:val="24"/>
        </w:rPr>
        <w:t xml:space="preserve">The organism used in the first type is a minimal model of fission yeast </w:t>
      </w:r>
      <w:r w:rsidR="004E499A">
        <w:rPr>
          <w:rFonts w:ascii="Times New Roman" w:hAnsi="Times New Roman" w:cs="Times New Roman"/>
          <w:sz w:val="24"/>
          <w:szCs w:val="24"/>
        </w:rPr>
        <w:t>like the CDK1-cyclin</w:t>
      </w:r>
      <w:r w:rsidR="00C52E50">
        <w:rPr>
          <w:rFonts w:ascii="Times New Roman" w:hAnsi="Times New Roman" w:cs="Times New Roman"/>
          <w:sz w:val="24"/>
          <w:szCs w:val="24"/>
        </w:rPr>
        <w:t xml:space="preserve"> (Willis et al., 2020)</w:t>
      </w:r>
      <w:r w:rsidR="004E499A">
        <w:rPr>
          <w:rFonts w:ascii="Times New Roman" w:hAnsi="Times New Roman" w:cs="Times New Roman"/>
          <w:sz w:val="24"/>
          <w:szCs w:val="24"/>
        </w:rPr>
        <w:t>. Secondly, an inhibitor dilutor such as the Wh</w:t>
      </w:r>
      <w:r w:rsidR="00BB078F">
        <w:rPr>
          <w:rFonts w:ascii="Times New Roman" w:hAnsi="Times New Roman" w:cs="Times New Roman"/>
          <w:sz w:val="24"/>
          <w:szCs w:val="24"/>
        </w:rPr>
        <w:t xml:space="preserve">i5 within the budding yeast is accumulated in a single-phase </w:t>
      </w:r>
      <w:r w:rsidR="006A6CB0">
        <w:rPr>
          <w:rFonts w:ascii="Times New Roman" w:hAnsi="Times New Roman" w:cs="Times New Roman"/>
          <w:sz w:val="24"/>
          <w:szCs w:val="24"/>
        </w:rPr>
        <w:lastRenderedPageBreak/>
        <w:t>where it</w:t>
      </w:r>
      <w:r w:rsidR="00A354C3">
        <w:rPr>
          <w:rFonts w:ascii="Times New Roman" w:hAnsi="Times New Roman" w:cs="Times New Roman"/>
          <w:sz w:val="24"/>
          <w:szCs w:val="24"/>
        </w:rPr>
        <w:t xml:space="preserve"> becomes diluted in the next phase, leading to the trigger of progression </w:t>
      </w:r>
      <w:r w:rsidR="00522C07">
        <w:rPr>
          <w:rFonts w:ascii="Times New Roman" w:hAnsi="Times New Roman" w:cs="Times New Roman"/>
          <w:sz w:val="24"/>
          <w:szCs w:val="24"/>
        </w:rPr>
        <w:t xml:space="preserve">with no continuous degradation with the threshold </w:t>
      </w:r>
      <w:r w:rsidR="00521E77">
        <w:rPr>
          <w:rFonts w:ascii="Times New Roman" w:hAnsi="Times New Roman" w:cs="Times New Roman"/>
          <w:sz w:val="24"/>
          <w:szCs w:val="24"/>
        </w:rPr>
        <w:t xml:space="preserve">density minimum. </w:t>
      </w:r>
    </w:p>
    <w:p w:rsidR="007A365B" w:rsidRDefault="00AF2739" w:rsidP="00656AF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general methodology used in the article is a cell proliferation</w:t>
      </w:r>
      <w:r w:rsidR="006A6CB0">
        <w:rPr>
          <w:rFonts w:ascii="Times New Roman" w:hAnsi="Times New Roman" w:cs="Times New Roman"/>
          <w:sz w:val="24"/>
          <w:szCs w:val="24"/>
        </w:rPr>
        <w:t xml:space="preserve"> model utilized in the prediction of</w:t>
      </w:r>
      <w:r w:rsidR="00F95F05">
        <w:rPr>
          <w:rFonts w:ascii="Times New Roman" w:hAnsi="Times New Roman" w:cs="Times New Roman"/>
          <w:sz w:val="24"/>
          <w:szCs w:val="24"/>
        </w:rPr>
        <w:t xml:space="preserve"> the </w:t>
      </w:r>
      <w:r w:rsidR="008878AF">
        <w:rPr>
          <w:rFonts w:ascii="Times New Roman" w:hAnsi="Times New Roman" w:cs="Times New Roman"/>
          <w:sz w:val="24"/>
          <w:szCs w:val="24"/>
        </w:rPr>
        <w:t>behaviors</w:t>
      </w:r>
      <w:r w:rsidR="00F95F05">
        <w:rPr>
          <w:rFonts w:ascii="Times New Roman" w:hAnsi="Times New Roman" w:cs="Times New Roman"/>
          <w:sz w:val="24"/>
          <w:szCs w:val="24"/>
        </w:rPr>
        <w:t xml:space="preserve"> of size-homeostasis </w:t>
      </w:r>
      <w:r w:rsidR="00C561F2">
        <w:rPr>
          <w:rFonts w:ascii="Times New Roman" w:hAnsi="Times New Roman" w:cs="Times New Roman"/>
          <w:sz w:val="24"/>
          <w:szCs w:val="24"/>
        </w:rPr>
        <w:t>which are provided</w:t>
      </w:r>
      <w:r w:rsidR="00F95F05">
        <w:rPr>
          <w:rFonts w:ascii="Times New Roman" w:hAnsi="Times New Roman" w:cs="Times New Roman"/>
          <w:sz w:val="24"/>
          <w:szCs w:val="24"/>
        </w:rPr>
        <w:t xml:space="preserve"> by various control mechanisms of cell-cycle. </w:t>
      </w:r>
      <w:r w:rsidR="00C561F2">
        <w:rPr>
          <w:rFonts w:ascii="Times New Roman" w:hAnsi="Times New Roman" w:cs="Times New Roman"/>
          <w:sz w:val="24"/>
          <w:szCs w:val="24"/>
        </w:rPr>
        <w:t>Some processes</w:t>
      </w:r>
      <w:r w:rsidR="007B6B02">
        <w:rPr>
          <w:rFonts w:ascii="Times New Roman" w:hAnsi="Times New Roman" w:cs="Times New Roman"/>
          <w:sz w:val="24"/>
          <w:szCs w:val="24"/>
        </w:rPr>
        <w:t xml:space="preserve"> of the </w:t>
      </w:r>
      <w:r w:rsidR="002F0043">
        <w:rPr>
          <w:rFonts w:ascii="Times New Roman" w:hAnsi="Times New Roman" w:cs="Times New Roman"/>
          <w:sz w:val="24"/>
          <w:szCs w:val="24"/>
        </w:rPr>
        <w:t>model</w:t>
      </w:r>
      <w:r w:rsidR="00C561F2">
        <w:rPr>
          <w:rFonts w:ascii="Times New Roman" w:hAnsi="Times New Roman" w:cs="Times New Roman"/>
          <w:sz w:val="24"/>
          <w:szCs w:val="24"/>
        </w:rPr>
        <w:t xml:space="preserve"> center</w:t>
      </w:r>
      <w:r w:rsidR="007B6B02">
        <w:rPr>
          <w:rFonts w:ascii="Times New Roman" w:hAnsi="Times New Roman" w:cs="Times New Roman"/>
          <w:sz w:val="24"/>
          <w:szCs w:val="24"/>
        </w:rPr>
        <w:t xml:space="preserve"> on cells </w:t>
      </w:r>
      <w:r w:rsidR="00910F11">
        <w:rPr>
          <w:rFonts w:ascii="Times New Roman" w:hAnsi="Times New Roman" w:cs="Times New Roman"/>
          <w:sz w:val="24"/>
          <w:szCs w:val="24"/>
        </w:rPr>
        <w:t xml:space="preserve">partitioned phases that are two in particular. However, </w:t>
      </w:r>
      <w:r w:rsidR="007B6B02">
        <w:rPr>
          <w:rFonts w:ascii="Times New Roman" w:hAnsi="Times New Roman" w:cs="Times New Roman"/>
          <w:sz w:val="24"/>
          <w:szCs w:val="24"/>
        </w:rPr>
        <w:t xml:space="preserve">the checkpoints </w:t>
      </w:r>
      <w:r w:rsidR="00A57179">
        <w:rPr>
          <w:rFonts w:ascii="Times New Roman" w:hAnsi="Times New Roman" w:cs="Times New Roman"/>
          <w:sz w:val="24"/>
          <w:szCs w:val="24"/>
        </w:rPr>
        <w:t>of the main</w:t>
      </w:r>
      <w:r w:rsidR="00A57179" w:rsidRPr="00A57179">
        <w:rPr>
          <w:rFonts w:ascii="Times New Roman" w:hAnsi="Times New Roman" w:cs="Times New Roman"/>
          <w:sz w:val="24"/>
          <w:szCs w:val="24"/>
        </w:rPr>
        <w:t xml:space="preserve"> eukaryotic cell-cycle </w:t>
      </w:r>
      <w:r w:rsidR="00A57179">
        <w:rPr>
          <w:rFonts w:ascii="Times New Roman" w:hAnsi="Times New Roman" w:cs="Times New Roman"/>
          <w:sz w:val="24"/>
          <w:szCs w:val="24"/>
        </w:rPr>
        <w:t>such as G2/S and G1/S brings out an assumption</w:t>
      </w:r>
      <w:r w:rsidR="007B6B02">
        <w:rPr>
          <w:rFonts w:ascii="Times New Roman" w:hAnsi="Times New Roman" w:cs="Times New Roman"/>
          <w:sz w:val="24"/>
          <w:szCs w:val="24"/>
        </w:rPr>
        <w:t xml:space="preserve"> that </w:t>
      </w:r>
      <w:r w:rsidR="00F869AD">
        <w:rPr>
          <w:rFonts w:ascii="Times New Roman" w:hAnsi="Times New Roman" w:cs="Times New Roman"/>
          <w:sz w:val="24"/>
          <w:szCs w:val="24"/>
        </w:rPr>
        <w:t>division and G2/M</w:t>
      </w:r>
      <w:r w:rsidR="00521E77">
        <w:rPr>
          <w:rFonts w:ascii="Times New Roman" w:hAnsi="Times New Roman" w:cs="Times New Roman"/>
          <w:sz w:val="24"/>
          <w:szCs w:val="24"/>
        </w:rPr>
        <w:t xml:space="preserve"> </w:t>
      </w:r>
      <w:r w:rsidR="00E82281">
        <w:rPr>
          <w:rFonts w:ascii="Times New Roman" w:hAnsi="Times New Roman" w:cs="Times New Roman"/>
          <w:sz w:val="24"/>
          <w:szCs w:val="24"/>
        </w:rPr>
        <w:t>are connected</w:t>
      </w:r>
      <w:r w:rsidR="00F869AD">
        <w:rPr>
          <w:rFonts w:ascii="Times New Roman" w:hAnsi="Times New Roman" w:cs="Times New Roman"/>
          <w:sz w:val="24"/>
          <w:szCs w:val="24"/>
        </w:rPr>
        <w:t xml:space="preserve">. It also focuses on </w:t>
      </w:r>
      <w:r w:rsidR="002F0043">
        <w:rPr>
          <w:rFonts w:ascii="Times New Roman" w:hAnsi="Times New Roman" w:cs="Times New Roman"/>
          <w:sz w:val="24"/>
          <w:szCs w:val="24"/>
        </w:rPr>
        <w:t>checkpoint</w:t>
      </w:r>
      <w:r w:rsidR="00F869AD">
        <w:rPr>
          <w:rFonts w:ascii="Times New Roman" w:hAnsi="Times New Roman" w:cs="Times New Roman"/>
          <w:sz w:val="24"/>
          <w:szCs w:val="24"/>
        </w:rPr>
        <w:t xml:space="preserve"> progression</w:t>
      </w:r>
      <w:r w:rsidR="00E82281">
        <w:rPr>
          <w:rFonts w:ascii="Times New Roman" w:hAnsi="Times New Roman" w:cs="Times New Roman"/>
          <w:sz w:val="24"/>
          <w:szCs w:val="24"/>
        </w:rPr>
        <w:t xml:space="preserve"> that is considered irreversible </w:t>
      </w:r>
      <w:r w:rsidR="00C371CA">
        <w:rPr>
          <w:rFonts w:ascii="Times New Roman" w:hAnsi="Times New Roman" w:cs="Times New Roman"/>
          <w:sz w:val="24"/>
          <w:szCs w:val="24"/>
        </w:rPr>
        <w:t>due to the</w:t>
      </w:r>
      <w:r w:rsidR="00C371CA" w:rsidRPr="00C371CA">
        <w:rPr>
          <w:rFonts w:ascii="Times New Roman" w:hAnsi="Times New Roman" w:cs="Times New Roman"/>
          <w:sz w:val="24"/>
          <w:szCs w:val="24"/>
        </w:rPr>
        <w:t xml:space="preserve"> rate-lim</w:t>
      </w:r>
      <w:r w:rsidR="00C371CA">
        <w:rPr>
          <w:rFonts w:ascii="Times New Roman" w:hAnsi="Times New Roman" w:cs="Times New Roman"/>
          <w:sz w:val="24"/>
          <w:szCs w:val="24"/>
        </w:rPr>
        <w:t>iting mechanisms</w:t>
      </w:r>
      <w:r w:rsidR="002F0043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2F0043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6467C">
        <w:rPr>
          <w:rFonts w:ascii="Times New Roman" w:hAnsi="Times New Roman" w:cs="Times New Roman"/>
          <w:sz w:val="24"/>
          <w:szCs w:val="24"/>
        </w:rPr>
        <w:t xml:space="preserve">Whi5-like inhibitor dilutors </w:t>
      </w:r>
      <w:r w:rsidR="002F0043">
        <w:rPr>
          <w:rFonts w:ascii="Times New Roman" w:hAnsi="Times New Roman" w:cs="Times New Roman"/>
          <w:sz w:val="24"/>
          <w:szCs w:val="24"/>
        </w:rPr>
        <w:t>a</w:t>
      </w:r>
      <w:r w:rsidR="00F6467C">
        <w:rPr>
          <w:rFonts w:ascii="Times New Roman" w:hAnsi="Times New Roman" w:cs="Times New Roman"/>
          <w:sz w:val="24"/>
          <w:szCs w:val="24"/>
        </w:rPr>
        <w:t>nd FtsZ/DnaA or CDK1-cyclin which leads to the accumulating</w:t>
      </w:r>
      <w:r w:rsidR="002F0043">
        <w:rPr>
          <w:rFonts w:ascii="Times New Roman" w:hAnsi="Times New Roman" w:cs="Times New Roman"/>
          <w:sz w:val="24"/>
          <w:szCs w:val="24"/>
        </w:rPr>
        <w:t xml:space="preserve"> levels of threshold activities.</w:t>
      </w:r>
    </w:p>
    <w:p w:rsidR="007A365B" w:rsidRDefault="00AF2739" w:rsidP="00C55DD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lear</w:t>
      </w:r>
      <w:r>
        <w:rPr>
          <w:rFonts w:ascii="Times New Roman" w:hAnsi="Times New Roman" w:cs="Times New Roman"/>
          <w:sz w:val="24"/>
          <w:szCs w:val="24"/>
        </w:rPr>
        <w:t xml:space="preserve">ned about the concept of </w:t>
      </w:r>
      <w:r w:rsidR="00CB6EB4">
        <w:rPr>
          <w:rFonts w:ascii="Times New Roman" w:hAnsi="Times New Roman" w:cs="Times New Roman"/>
          <w:sz w:val="24"/>
          <w:szCs w:val="24"/>
        </w:rPr>
        <w:t xml:space="preserve">mechanisms of cell-cycle regulation </w:t>
      </w:r>
      <w:r>
        <w:rPr>
          <w:rFonts w:ascii="Times New Roman" w:hAnsi="Times New Roman" w:cs="Times New Roman"/>
          <w:sz w:val="24"/>
          <w:szCs w:val="24"/>
        </w:rPr>
        <w:t xml:space="preserve">in class has helped me to understand </w:t>
      </w:r>
      <w:r w:rsidR="00E523CE">
        <w:rPr>
          <w:rFonts w:ascii="Times New Roman" w:hAnsi="Times New Roman" w:cs="Times New Roman"/>
          <w:sz w:val="24"/>
          <w:szCs w:val="24"/>
        </w:rPr>
        <w:t xml:space="preserve">how </w:t>
      </w:r>
      <w:r w:rsidR="00CB6EB4" w:rsidRPr="00E523CE">
        <w:rPr>
          <w:rFonts w:ascii="Times New Roman" w:hAnsi="Times New Roman" w:cs="Times New Roman"/>
          <w:sz w:val="24"/>
          <w:szCs w:val="24"/>
        </w:rPr>
        <w:t>cell</w:t>
      </w:r>
      <w:r w:rsidR="00CB6EB4">
        <w:rPr>
          <w:rFonts w:ascii="Times New Roman" w:hAnsi="Times New Roman" w:cs="Times New Roman"/>
          <w:sz w:val="24"/>
          <w:szCs w:val="24"/>
        </w:rPr>
        <w:t xml:space="preserve"> size-homeostasis </w:t>
      </w:r>
      <w:r w:rsidR="00C55DDD">
        <w:rPr>
          <w:rFonts w:ascii="Times New Roman" w:hAnsi="Times New Roman" w:cs="Times New Roman"/>
          <w:sz w:val="24"/>
          <w:szCs w:val="24"/>
        </w:rPr>
        <w:t xml:space="preserve">quantifications </w:t>
      </w:r>
      <w:r w:rsidR="001C1207">
        <w:rPr>
          <w:rFonts w:ascii="Times New Roman" w:hAnsi="Times New Roman" w:cs="Times New Roman"/>
          <w:sz w:val="24"/>
          <w:szCs w:val="24"/>
        </w:rPr>
        <w:t>can inflict the limits as well as</w:t>
      </w:r>
      <w:r w:rsidR="00C55DDD">
        <w:rPr>
          <w:rFonts w:ascii="Times New Roman" w:hAnsi="Times New Roman" w:cs="Times New Roman"/>
          <w:sz w:val="24"/>
          <w:szCs w:val="24"/>
        </w:rPr>
        <w:t xml:space="preserve"> </w:t>
      </w:r>
      <w:r w:rsidR="00CB6EB4">
        <w:rPr>
          <w:rFonts w:ascii="Times New Roman" w:hAnsi="Times New Roman" w:cs="Times New Roman"/>
          <w:sz w:val="24"/>
          <w:szCs w:val="24"/>
        </w:rPr>
        <w:t xml:space="preserve">constraints on </w:t>
      </w:r>
      <w:r w:rsidR="001C1207">
        <w:rPr>
          <w:rFonts w:ascii="Times New Roman" w:hAnsi="Times New Roman" w:cs="Times New Roman"/>
          <w:sz w:val="24"/>
          <w:szCs w:val="24"/>
        </w:rPr>
        <w:t xml:space="preserve">various </w:t>
      </w:r>
      <w:r w:rsidR="00C55DDD">
        <w:rPr>
          <w:rFonts w:ascii="Times New Roman" w:hAnsi="Times New Roman" w:cs="Times New Roman"/>
          <w:sz w:val="24"/>
          <w:szCs w:val="24"/>
        </w:rPr>
        <w:t>processes</w:t>
      </w:r>
      <w:r w:rsidR="00CB6EB4">
        <w:rPr>
          <w:rFonts w:ascii="Times New Roman" w:hAnsi="Times New Roman" w:cs="Times New Roman"/>
          <w:sz w:val="24"/>
          <w:szCs w:val="24"/>
        </w:rPr>
        <w:t xml:space="preserve"> of cell-cycle regulation.  </w:t>
      </w: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7145C9" w:rsidRDefault="007145C9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D6039B" w:rsidRDefault="00AF27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D0C52" w:rsidRPr="007145C9" w:rsidRDefault="00AF2739" w:rsidP="007145C9">
      <w:pPr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5C9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8D0C52" w:rsidRDefault="00AF2739" w:rsidP="00C52E50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108DC">
        <w:rPr>
          <w:rFonts w:ascii="Times New Roman" w:hAnsi="Times New Roman" w:cs="Times New Roman"/>
          <w:sz w:val="24"/>
          <w:szCs w:val="24"/>
        </w:rPr>
        <w:t xml:space="preserve">Willis, L., </w:t>
      </w:r>
      <w:r w:rsidRPr="002108DC">
        <w:rPr>
          <w:rFonts w:ascii="Times New Roman" w:hAnsi="Times New Roman" w:cs="Times New Roman"/>
          <w:sz w:val="24"/>
          <w:szCs w:val="24"/>
        </w:rPr>
        <w:t>Jönsson, H., &amp; Huang, K. C. (2020). Limits and Constraints on Mechanisms of Cell-Cycle Regulation Imposed by Cell Size-Homeostasis Measurements. Cell Reports, 32(6), 107992.</w:t>
      </w:r>
      <w:r w:rsidR="00C52E5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C52E50" w:rsidRPr="00121372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https://www.sciencedirect.com/science/article/pii/S2211124720309773</w:t>
        </w:r>
      </w:hyperlink>
      <w:r w:rsidR="00C52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C52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D0C52" w:rsidRPr="001F08AE" w:rsidRDefault="008D0C52" w:rsidP="008D0C52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656AF4"/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8D0C52"/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p w:rsidR="007A365B" w:rsidRDefault="007A365B" w:rsidP="007A365B">
      <w:pPr>
        <w:jc w:val="right"/>
      </w:pPr>
    </w:p>
    <w:sectPr w:rsidR="007A365B" w:rsidSect="007A365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739" w:rsidRDefault="00AF2739">
      <w:pPr>
        <w:spacing w:line="240" w:lineRule="auto"/>
      </w:pPr>
      <w:r>
        <w:separator/>
      </w:r>
    </w:p>
  </w:endnote>
  <w:endnote w:type="continuationSeparator" w:id="0">
    <w:p w:rsidR="00AF2739" w:rsidRDefault="00AF2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739" w:rsidRDefault="00AF2739">
      <w:pPr>
        <w:spacing w:line="240" w:lineRule="auto"/>
      </w:pPr>
      <w:r>
        <w:separator/>
      </w:r>
    </w:p>
  </w:footnote>
  <w:footnote w:type="continuationSeparator" w:id="0">
    <w:p w:rsidR="00AF2739" w:rsidRDefault="00AF27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19972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A365B" w:rsidRPr="007A365B" w:rsidRDefault="00AF2739" w:rsidP="005267BC">
        <w:pPr>
          <w:pStyle w:val="Header"/>
          <w:spacing w:line="480" w:lineRule="auto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7A36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6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36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5DD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A36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4690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A365B" w:rsidRPr="007A365B" w:rsidRDefault="00AF2739" w:rsidP="007A365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A36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6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36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6EB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A36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BA6"/>
    <w:rsid w:val="00061413"/>
    <w:rsid w:val="000C096D"/>
    <w:rsid w:val="00121372"/>
    <w:rsid w:val="001C1207"/>
    <w:rsid w:val="001D1550"/>
    <w:rsid w:val="001D37D3"/>
    <w:rsid w:val="001F08AE"/>
    <w:rsid w:val="001F4FA3"/>
    <w:rsid w:val="002108DC"/>
    <w:rsid w:val="002A7678"/>
    <w:rsid w:val="002F0043"/>
    <w:rsid w:val="003350B3"/>
    <w:rsid w:val="003541E7"/>
    <w:rsid w:val="00375AE6"/>
    <w:rsid w:val="003943EC"/>
    <w:rsid w:val="003A0219"/>
    <w:rsid w:val="003C0AE7"/>
    <w:rsid w:val="003F6C74"/>
    <w:rsid w:val="004569B0"/>
    <w:rsid w:val="00485BE0"/>
    <w:rsid w:val="004D742A"/>
    <w:rsid w:val="004E499A"/>
    <w:rsid w:val="004F79A9"/>
    <w:rsid w:val="00521E77"/>
    <w:rsid w:val="00522C07"/>
    <w:rsid w:val="005267BC"/>
    <w:rsid w:val="00530FC4"/>
    <w:rsid w:val="005A14DD"/>
    <w:rsid w:val="00656AF4"/>
    <w:rsid w:val="006666C4"/>
    <w:rsid w:val="006A6CB0"/>
    <w:rsid w:val="006B333A"/>
    <w:rsid w:val="006C4E40"/>
    <w:rsid w:val="007145C9"/>
    <w:rsid w:val="0071633E"/>
    <w:rsid w:val="00762B2E"/>
    <w:rsid w:val="007A365B"/>
    <w:rsid w:val="007B6B02"/>
    <w:rsid w:val="007C01D7"/>
    <w:rsid w:val="007D5696"/>
    <w:rsid w:val="008878AF"/>
    <w:rsid w:val="00893042"/>
    <w:rsid w:val="008D0C52"/>
    <w:rsid w:val="008D2DE9"/>
    <w:rsid w:val="009016A4"/>
    <w:rsid w:val="00905136"/>
    <w:rsid w:val="00910F11"/>
    <w:rsid w:val="009822B3"/>
    <w:rsid w:val="009824CC"/>
    <w:rsid w:val="009C1873"/>
    <w:rsid w:val="00A17EDF"/>
    <w:rsid w:val="00A24D88"/>
    <w:rsid w:val="00A354C3"/>
    <w:rsid w:val="00A47CD9"/>
    <w:rsid w:val="00A55DF1"/>
    <w:rsid w:val="00A57179"/>
    <w:rsid w:val="00AF2739"/>
    <w:rsid w:val="00B44C77"/>
    <w:rsid w:val="00B71B57"/>
    <w:rsid w:val="00BB078F"/>
    <w:rsid w:val="00C371CA"/>
    <w:rsid w:val="00C52E50"/>
    <w:rsid w:val="00C55DDD"/>
    <w:rsid w:val="00C561F2"/>
    <w:rsid w:val="00C81006"/>
    <w:rsid w:val="00CA36F7"/>
    <w:rsid w:val="00CB6EB4"/>
    <w:rsid w:val="00CE3BEB"/>
    <w:rsid w:val="00D11585"/>
    <w:rsid w:val="00D440D2"/>
    <w:rsid w:val="00D50277"/>
    <w:rsid w:val="00D6039B"/>
    <w:rsid w:val="00DD0D22"/>
    <w:rsid w:val="00DD76A6"/>
    <w:rsid w:val="00E523CE"/>
    <w:rsid w:val="00E82281"/>
    <w:rsid w:val="00EA11B2"/>
    <w:rsid w:val="00ED7BA6"/>
    <w:rsid w:val="00F04145"/>
    <w:rsid w:val="00F416E0"/>
    <w:rsid w:val="00F6467C"/>
    <w:rsid w:val="00F869AD"/>
    <w:rsid w:val="00F95F05"/>
    <w:rsid w:val="00FE182C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2BF319-0944-4CD1-AE60-754654F9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65B"/>
  </w:style>
  <w:style w:type="paragraph" w:styleId="Footer">
    <w:name w:val="footer"/>
    <w:basedOn w:val="Normal"/>
    <w:link w:val="FooterChar"/>
    <w:uiPriority w:val="99"/>
    <w:unhideWhenUsed/>
    <w:rsid w:val="007A3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65B"/>
  </w:style>
  <w:style w:type="character" w:styleId="Hyperlink">
    <w:name w:val="Hyperlink"/>
    <w:basedOn w:val="DefaultParagraphFont"/>
    <w:uiPriority w:val="99"/>
    <w:unhideWhenUsed/>
    <w:rsid w:val="00C52E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221112472030977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14</cp:revision>
  <dcterms:created xsi:type="dcterms:W3CDTF">2020-09-12T20:09:00Z</dcterms:created>
  <dcterms:modified xsi:type="dcterms:W3CDTF">2020-09-12T20:37:00Z</dcterms:modified>
</cp:coreProperties>
</file>