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D8A" w:rsidRDefault="00922D8A" w:rsidP="00A570B9">
      <w:pPr>
        <w:spacing w:after="0" w:line="480" w:lineRule="auto"/>
        <w:jc w:val="center"/>
        <w:rPr>
          <w:rFonts w:ascii="Times New Roman" w:eastAsia="Times New Roman" w:hAnsi="Times New Roman" w:cs="Times New Roman"/>
          <w:sz w:val="24"/>
          <w:szCs w:val="24"/>
        </w:rPr>
      </w:pPr>
      <w:bookmarkStart w:id="0" w:name="_GoBack"/>
      <w:bookmarkEnd w:id="0"/>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4A15BC" w:rsidP="00B407EB">
      <w:pPr>
        <w:spacing w:after="0" w:line="480" w:lineRule="auto"/>
        <w:jc w:val="center"/>
        <w:rPr>
          <w:rFonts w:ascii="Times New Roman" w:eastAsia="Times New Roman" w:hAnsi="Times New Roman" w:cs="Times New Roman"/>
          <w:sz w:val="24"/>
          <w:szCs w:val="24"/>
        </w:rPr>
      </w:pPr>
      <w:r w:rsidRPr="00A570B9">
        <w:rPr>
          <w:rFonts w:ascii="Times New Roman" w:eastAsia="Times New Roman" w:hAnsi="Times New Roman" w:cs="Times New Roman"/>
          <w:sz w:val="24"/>
          <w:szCs w:val="24"/>
        </w:rPr>
        <w:t>S</w:t>
      </w:r>
      <w:r w:rsidR="00B407EB" w:rsidRPr="00A570B9">
        <w:rPr>
          <w:rFonts w:ascii="Times New Roman" w:eastAsia="Times New Roman" w:hAnsi="Times New Roman" w:cs="Times New Roman"/>
          <w:sz w:val="24"/>
          <w:szCs w:val="24"/>
        </w:rPr>
        <w:t>ummary</w:t>
      </w:r>
    </w:p>
    <w:p w:rsidR="00922D8A" w:rsidRPr="00922D8A" w:rsidRDefault="004A15BC" w:rsidP="00B407EB">
      <w:pPr>
        <w:spacing w:after="0" w:line="480" w:lineRule="auto"/>
        <w:jc w:val="center"/>
        <w:rPr>
          <w:rFonts w:ascii="Times New Roman" w:eastAsia="Times New Roman" w:hAnsi="Times New Roman" w:cs="Times New Roman"/>
          <w:sz w:val="24"/>
          <w:szCs w:val="24"/>
        </w:rPr>
      </w:pPr>
      <w:r w:rsidRPr="00922D8A">
        <w:rPr>
          <w:rFonts w:ascii="Times New Roman" w:eastAsia="Times New Roman" w:hAnsi="Times New Roman" w:cs="Times New Roman"/>
          <w:sz w:val="24"/>
          <w:szCs w:val="24"/>
        </w:rPr>
        <w:t>Name</w:t>
      </w:r>
    </w:p>
    <w:p w:rsidR="00922D8A" w:rsidRPr="00922D8A" w:rsidRDefault="00B407EB" w:rsidP="00B407E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922D8A" w:rsidRPr="00922D8A" w:rsidRDefault="004A15BC" w:rsidP="00B407EB">
      <w:pPr>
        <w:spacing w:after="0" w:line="480" w:lineRule="auto"/>
        <w:jc w:val="center"/>
        <w:rPr>
          <w:rFonts w:ascii="Times New Roman" w:eastAsia="Times New Roman" w:hAnsi="Times New Roman" w:cs="Times New Roman"/>
          <w:sz w:val="24"/>
          <w:szCs w:val="24"/>
        </w:rPr>
      </w:pPr>
      <w:r w:rsidRPr="00922D8A">
        <w:rPr>
          <w:rFonts w:ascii="Times New Roman" w:eastAsia="Times New Roman" w:hAnsi="Times New Roman" w:cs="Times New Roman"/>
          <w:sz w:val="24"/>
          <w:szCs w:val="24"/>
        </w:rPr>
        <w:t>Course</w:t>
      </w:r>
    </w:p>
    <w:p w:rsidR="00922D8A" w:rsidRPr="00922D8A" w:rsidRDefault="004A15BC" w:rsidP="00922D8A">
      <w:pPr>
        <w:spacing w:after="0" w:line="480" w:lineRule="auto"/>
        <w:jc w:val="center"/>
        <w:rPr>
          <w:rFonts w:ascii="Times New Roman" w:eastAsia="Times New Roman" w:hAnsi="Times New Roman" w:cs="Times New Roman"/>
          <w:sz w:val="24"/>
          <w:szCs w:val="24"/>
        </w:rPr>
      </w:pPr>
      <w:r w:rsidRPr="00922D8A">
        <w:rPr>
          <w:rFonts w:ascii="Times New Roman" w:eastAsia="Times New Roman" w:hAnsi="Times New Roman" w:cs="Times New Roman"/>
          <w:sz w:val="24"/>
          <w:szCs w:val="24"/>
        </w:rPr>
        <w:t>Date</w:t>
      </w: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922D8A" w:rsidRDefault="00922D8A" w:rsidP="00A570B9">
      <w:pPr>
        <w:spacing w:after="0" w:line="480" w:lineRule="auto"/>
        <w:jc w:val="center"/>
        <w:rPr>
          <w:rFonts w:ascii="Times New Roman" w:eastAsia="Times New Roman" w:hAnsi="Times New Roman" w:cs="Times New Roman"/>
          <w:sz w:val="24"/>
          <w:szCs w:val="24"/>
        </w:rPr>
      </w:pPr>
    </w:p>
    <w:p w:rsidR="00B407EB" w:rsidRDefault="00B407EB" w:rsidP="00A570B9">
      <w:pPr>
        <w:spacing w:after="0" w:line="480" w:lineRule="auto"/>
        <w:jc w:val="center"/>
        <w:rPr>
          <w:rFonts w:ascii="Times New Roman" w:eastAsia="Times New Roman" w:hAnsi="Times New Roman" w:cs="Times New Roman"/>
          <w:sz w:val="24"/>
          <w:szCs w:val="24"/>
        </w:rPr>
      </w:pPr>
    </w:p>
    <w:p w:rsidR="00B407EB" w:rsidRDefault="00B407EB" w:rsidP="00A570B9">
      <w:pPr>
        <w:spacing w:after="0" w:line="480" w:lineRule="auto"/>
        <w:jc w:val="center"/>
        <w:rPr>
          <w:rFonts w:ascii="Times New Roman" w:eastAsia="Times New Roman" w:hAnsi="Times New Roman" w:cs="Times New Roman"/>
          <w:sz w:val="24"/>
          <w:szCs w:val="24"/>
        </w:rPr>
      </w:pPr>
    </w:p>
    <w:p w:rsidR="00B407EB" w:rsidRDefault="00B407EB" w:rsidP="00A570B9">
      <w:pPr>
        <w:spacing w:after="0" w:line="480" w:lineRule="auto"/>
        <w:jc w:val="center"/>
        <w:rPr>
          <w:rFonts w:ascii="Times New Roman" w:eastAsia="Times New Roman" w:hAnsi="Times New Roman" w:cs="Times New Roman"/>
          <w:sz w:val="24"/>
          <w:szCs w:val="24"/>
        </w:rPr>
      </w:pPr>
    </w:p>
    <w:p w:rsidR="00B407EB" w:rsidRDefault="00B407EB" w:rsidP="00A570B9">
      <w:pPr>
        <w:spacing w:after="0" w:line="480" w:lineRule="auto"/>
        <w:jc w:val="center"/>
        <w:rPr>
          <w:rFonts w:ascii="Times New Roman" w:eastAsia="Times New Roman" w:hAnsi="Times New Roman" w:cs="Times New Roman"/>
          <w:sz w:val="24"/>
          <w:szCs w:val="24"/>
        </w:rPr>
      </w:pPr>
    </w:p>
    <w:p w:rsidR="00922D8A" w:rsidRPr="00A570B9" w:rsidRDefault="00922D8A" w:rsidP="00A570B9">
      <w:pPr>
        <w:spacing w:after="0" w:line="480" w:lineRule="auto"/>
        <w:jc w:val="center"/>
        <w:rPr>
          <w:rFonts w:ascii="Times New Roman" w:eastAsia="Times New Roman" w:hAnsi="Times New Roman" w:cs="Times New Roman"/>
          <w:sz w:val="24"/>
          <w:szCs w:val="24"/>
        </w:rPr>
      </w:pPr>
    </w:p>
    <w:p w:rsidR="00C0309B" w:rsidRPr="00A570B9" w:rsidRDefault="004A15BC" w:rsidP="00A570B9">
      <w:pPr>
        <w:spacing w:after="0" w:line="480" w:lineRule="auto"/>
        <w:jc w:val="both"/>
        <w:rPr>
          <w:rFonts w:ascii="Times New Roman" w:eastAsia="Times New Roman" w:hAnsi="Times New Roman" w:cs="Times New Roman"/>
          <w:sz w:val="24"/>
          <w:szCs w:val="24"/>
        </w:rPr>
      </w:pPr>
      <w:r w:rsidRPr="00A570B9">
        <w:rPr>
          <w:rFonts w:ascii="Times New Roman" w:eastAsia="Times New Roman" w:hAnsi="Times New Roman" w:cs="Times New Roman"/>
          <w:sz w:val="24"/>
          <w:szCs w:val="24"/>
        </w:rPr>
        <w:lastRenderedPageBreak/>
        <w:t>Summary of the main ideas of the article</w:t>
      </w:r>
    </w:p>
    <w:p w:rsidR="005D2241" w:rsidRPr="00A570B9" w:rsidRDefault="004A15BC" w:rsidP="00A570B9">
      <w:pPr>
        <w:spacing w:after="0" w:line="480" w:lineRule="auto"/>
        <w:ind w:firstLine="720"/>
        <w:jc w:val="both"/>
        <w:rPr>
          <w:rFonts w:ascii="Times New Roman" w:eastAsia="Times New Roman" w:hAnsi="Times New Roman" w:cs="Times New Roman"/>
          <w:sz w:val="24"/>
          <w:szCs w:val="24"/>
        </w:rPr>
      </w:pPr>
      <w:r w:rsidRPr="00A570B9">
        <w:rPr>
          <w:rFonts w:ascii="Times New Roman" w:eastAsia="Times New Roman" w:hAnsi="Times New Roman" w:cs="Times New Roman"/>
          <w:sz w:val="24"/>
          <w:szCs w:val="24"/>
        </w:rPr>
        <w:t xml:space="preserve">Through the configuration of the values people universally share, the researchers endogenously explored heterogeneity in cultural values across and </w:t>
      </w:r>
      <w:r w:rsidRPr="00A570B9">
        <w:rPr>
          <w:rFonts w:ascii="Times New Roman" w:eastAsia="Times New Roman" w:hAnsi="Times New Roman" w:cs="Times New Roman"/>
          <w:sz w:val="24"/>
          <w:szCs w:val="24"/>
        </w:rPr>
        <w:t>within nations</w:t>
      </w:r>
      <w:r w:rsidR="00806A4D" w:rsidRPr="00A570B9">
        <w:rPr>
          <w:rFonts w:ascii="Times New Roman" w:eastAsia="Times New Roman" w:hAnsi="Times New Roman" w:cs="Times New Roman"/>
          <w:sz w:val="24"/>
          <w:szCs w:val="24"/>
        </w:rPr>
        <w:t xml:space="preserve"> (Venaik&amp;Midgley, 2015)</w:t>
      </w:r>
      <w:r w:rsidRPr="00A570B9">
        <w:rPr>
          <w:rFonts w:ascii="Times New Roman" w:eastAsia="Times New Roman" w:hAnsi="Times New Roman" w:cs="Times New Roman"/>
          <w:sz w:val="24"/>
          <w:szCs w:val="24"/>
        </w:rPr>
        <w:t>. The researchers developed culture archetypes theory and utilize original methodologies which in their data, identify small numbers of archetypes (configurations of values). The existence of subnational and transnation</w:t>
      </w:r>
      <w:r w:rsidRPr="00A570B9">
        <w:rPr>
          <w:rFonts w:ascii="Times New Roman" w:eastAsia="Times New Roman" w:hAnsi="Times New Roman" w:cs="Times New Roman"/>
          <w:sz w:val="24"/>
          <w:szCs w:val="24"/>
        </w:rPr>
        <w:t xml:space="preserve">al configurations of values (archetypes) in four nations, India, China, the United States, and Japan </w:t>
      </w:r>
      <w:r w:rsidR="00D25492" w:rsidRPr="00A570B9">
        <w:rPr>
          <w:rFonts w:ascii="Times New Roman" w:eastAsia="Times New Roman" w:hAnsi="Times New Roman" w:cs="Times New Roman"/>
          <w:sz w:val="24"/>
          <w:szCs w:val="24"/>
        </w:rPr>
        <w:t>suggests the need to acknowledge cultures as unique-emic-features and combinations of common-etic</w:t>
      </w:r>
      <w:r w:rsidR="00806A4D" w:rsidRPr="00A570B9">
        <w:rPr>
          <w:rFonts w:ascii="Times New Roman" w:eastAsia="Times New Roman" w:hAnsi="Times New Roman" w:cs="Times New Roman"/>
          <w:sz w:val="24"/>
          <w:szCs w:val="24"/>
        </w:rPr>
        <w:t xml:space="preserve"> (Venaik&amp;Midgley, 2015)</w:t>
      </w:r>
      <w:r w:rsidR="00D25492" w:rsidRPr="00A570B9">
        <w:rPr>
          <w:rFonts w:ascii="Times New Roman" w:eastAsia="Times New Roman" w:hAnsi="Times New Roman" w:cs="Times New Roman"/>
          <w:sz w:val="24"/>
          <w:szCs w:val="24"/>
        </w:rPr>
        <w:t xml:space="preserve">. In color physics, important analogies for mindscapes across landscapes are found, that is cultural differences and similarities across and within nations. Figure 10 illustrated this. </w:t>
      </w:r>
    </w:p>
    <w:p w:rsidR="00D25492" w:rsidRPr="00A570B9" w:rsidRDefault="004A15BC" w:rsidP="00A570B9">
      <w:pPr>
        <w:spacing w:after="0" w:line="480" w:lineRule="auto"/>
        <w:jc w:val="both"/>
        <w:rPr>
          <w:rFonts w:ascii="Times New Roman" w:eastAsia="Times New Roman" w:hAnsi="Times New Roman" w:cs="Times New Roman"/>
          <w:sz w:val="24"/>
          <w:szCs w:val="24"/>
        </w:rPr>
      </w:pPr>
      <w:r w:rsidRPr="00A570B9">
        <w:rPr>
          <w:rFonts w:ascii="Times New Roman" w:hAnsi="Times New Roman" w:cs="Times New Roman"/>
          <w:noProof/>
          <w:sz w:val="24"/>
          <w:szCs w:val="24"/>
        </w:rPr>
        <w:drawing>
          <wp:inline distT="0" distB="0" distL="0" distR="0">
            <wp:extent cx="5943600" cy="21628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0631" name=""/>
                    <pic:cNvPicPr/>
                  </pic:nvPicPr>
                  <pic:blipFill>
                    <a:blip r:embed="rId6"/>
                    <a:stretch>
                      <a:fillRect/>
                    </a:stretch>
                  </pic:blipFill>
                  <pic:spPr>
                    <a:xfrm>
                      <a:off x="0" y="0"/>
                      <a:ext cx="5943600" cy="2162810"/>
                    </a:xfrm>
                    <a:prstGeom prst="rect">
                      <a:avLst/>
                    </a:prstGeom>
                  </pic:spPr>
                </pic:pic>
              </a:graphicData>
            </a:graphic>
          </wp:inline>
        </w:drawing>
      </w:r>
    </w:p>
    <w:p w:rsidR="00BA288A" w:rsidRDefault="004A15BC" w:rsidP="00A570B9">
      <w:pPr>
        <w:spacing w:after="0" w:line="480" w:lineRule="auto"/>
        <w:ind w:firstLine="720"/>
        <w:jc w:val="both"/>
        <w:rPr>
          <w:rFonts w:ascii="Times New Roman" w:hAnsi="Times New Roman" w:cs="Times New Roman"/>
          <w:sz w:val="24"/>
          <w:szCs w:val="24"/>
        </w:rPr>
      </w:pPr>
      <w:r w:rsidRPr="00A570B9">
        <w:rPr>
          <w:rFonts w:ascii="Times New Roman" w:eastAsia="Times New Roman" w:hAnsi="Times New Roman" w:cs="Times New Roman"/>
          <w:sz w:val="24"/>
          <w:szCs w:val="24"/>
        </w:rPr>
        <w:t xml:space="preserve">Every small circle signifies a nation in figure 10. In the minds of people, cultures such as color </w:t>
      </w:r>
      <w:r w:rsidRPr="00A570B9">
        <w:rPr>
          <w:rFonts w:ascii="Times New Roman" w:eastAsia="Times New Roman" w:hAnsi="Times New Roman" w:cs="Times New Roman"/>
          <w:sz w:val="24"/>
          <w:szCs w:val="24"/>
        </w:rPr>
        <w:t>exist</w:t>
      </w:r>
      <w:r w:rsidR="00A0217D" w:rsidRPr="00A570B9">
        <w:rPr>
          <w:rFonts w:ascii="Times New Roman" w:hAnsi="Times New Roman" w:cs="Times New Roman"/>
          <w:sz w:val="24"/>
          <w:szCs w:val="24"/>
        </w:rPr>
        <w:t xml:space="preserve"> (</w:t>
      </w:r>
      <w:r w:rsidR="00A0217D" w:rsidRPr="00A570B9">
        <w:rPr>
          <w:rFonts w:ascii="Times New Roman" w:eastAsia="Times New Roman" w:hAnsi="Times New Roman" w:cs="Times New Roman"/>
          <w:sz w:val="24"/>
          <w:szCs w:val="24"/>
        </w:rPr>
        <w:t>Venaik&amp;Midgley, 2015)</w:t>
      </w:r>
      <w:r w:rsidRPr="00A570B9">
        <w:rPr>
          <w:rFonts w:ascii="Times New Roman" w:eastAsia="Times New Roman" w:hAnsi="Times New Roman" w:cs="Times New Roman"/>
          <w:sz w:val="24"/>
          <w:szCs w:val="24"/>
        </w:rPr>
        <w:t>. The perspectives of national culture view every country via the monochromatic lens and paint every nation with a single color that reflects its culture uniformity as illustrated in figure 10a. The perspectives of national cult</w:t>
      </w:r>
      <w:r w:rsidRPr="00A570B9">
        <w:rPr>
          <w:rFonts w:ascii="Times New Roman" w:eastAsia="Times New Roman" w:hAnsi="Times New Roman" w:cs="Times New Roman"/>
          <w:sz w:val="24"/>
          <w:szCs w:val="24"/>
        </w:rPr>
        <w:t xml:space="preserve">ures imply one configuration. As shown in figure 10b, the perspectives of alternative heterogeneous cultures see each nation via the polychromatic lens, with a diverse color </w:t>
      </w:r>
      <w:r w:rsidRPr="00A570B9">
        <w:rPr>
          <w:rFonts w:ascii="Times New Roman" w:hAnsi="Times New Roman" w:cs="Times New Roman"/>
          <w:sz w:val="24"/>
          <w:szCs w:val="24"/>
        </w:rPr>
        <w:t>for every sub-national formation</w:t>
      </w:r>
      <w:r w:rsidR="00806A4D" w:rsidRPr="00A570B9">
        <w:rPr>
          <w:rFonts w:ascii="Times New Roman" w:hAnsi="Times New Roman" w:cs="Times New Roman"/>
          <w:sz w:val="24"/>
          <w:szCs w:val="24"/>
        </w:rPr>
        <w:t>(Venaik&amp;Midgley, 2015)</w:t>
      </w:r>
      <w:r w:rsidRPr="00A570B9">
        <w:rPr>
          <w:rFonts w:ascii="Times New Roman" w:hAnsi="Times New Roman" w:cs="Times New Roman"/>
          <w:sz w:val="24"/>
          <w:szCs w:val="24"/>
        </w:rPr>
        <w:t xml:space="preserve">. This perspective does not </w:t>
      </w:r>
      <w:r w:rsidRPr="00A570B9">
        <w:rPr>
          <w:rFonts w:ascii="Times New Roman" w:hAnsi="Times New Roman" w:cs="Times New Roman"/>
          <w:sz w:val="24"/>
          <w:szCs w:val="24"/>
        </w:rPr>
        <w:t xml:space="preserve">explicitly link the people in </w:t>
      </w:r>
      <w:r w:rsidRPr="00A570B9">
        <w:rPr>
          <w:rFonts w:ascii="Times New Roman" w:hAnsi="Times New Roman" w:cs="Times New Roman"/>
          <w:sz w:val="24"/>
          <w:szCs w:val="24"/>
        </w:rPr>
        <w:lastRenderedPageBreak/>
        <w:t>various nations who as demonstrated share similar values even though the viewpoint extends the view of national cultures by acknowledging cultural heterogeneity within every nation.  Archetypal culture perspectives, in contras</w:t>
      </w:r>
      <w:r w:rsidRPr="00A570B9">
        <w:rPr>
          <w:rFonts w:ascii="Times New Roman" w:hAnsi="Times New Roman" w:cs="Times New Roman"/>
          <w:sz w:val="24"/>
          <w:szCs w:val="24"/>
        </w:rPr>
        <w:t xml:space="preserve">t, view </w:t>
      </w:r>
      <w:r w:rsidR="0057408E" w:rsidRPr="00A570B9">
        <w:rPr>
          <w:rFonts w:ascii="Times New Roman" w:hAnsi="Times New Roman" w:cs="Times New Roman"/>
          <w:sz w:val="24"/>
          <w:szCs w:val="24"/>
        </w:rPr>
        <w:t>the world of countries via a distinguished polychromatic lens and recognize the differences and similarities among people across and within nations as shown in figure 10c. The viewpoints of archetypal cultures reflect the cultural diversity real world with greater fidelity, clarity, and precision</w:t>
      </w:r>
      <w:r w:rsidR="00806A4D" w:rsidRPr="00A570B9">
        <w:rPr>
          <w:rFonts w:ascii="Times New Roman" w:hAnsi="Times New Roman" w:cs="Times New Roman"/>
          <w:sz w:val="24"/>
          <w:szCs w:val="24"/>
        </w:rPr>
        <w:t xml:space="preserve"> (Venaik&amp;Midgley, 2015)</w:t>
      </w:r>
      <w:r w:rsidR="0057408E" w:rsidRPr="00A570B9">
        <w:rPr>
          <w:rFonts w:ascii="Times New Roman" w:hAnsi="Times New Roman" w:cs="Times New Roman"/>
          <w:sz w:val="24"/>
          <w:szCs w:val="24"/>
        </w:rPr>
        <w:t>. The archetypal approach is likely to open doors to more objective and constructive debates on how best people can understand, conceptualize, and measure the dynamism, richness, and diversity of culture people see around them.</w:t>
      </w: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Default="00B407EB" w:rsidP="00A570B9">
      <w:pPr>
        <w:spacing w:after="0" w:line="480" w:lineRule="auto"/>
        <w:ind w:firstLine="720"/>
        <w:jc w:val="both"/>
        <w:rPr>
          <w:rFonts w:ascii="Times New Roman" w:hAnsi="Times New Roman" w:cs="Times New Roman"/>
          <w:sz w:val="24"/>
          <w:szCs w:val="24"/>
        </w:rPr>
      </w:pPr>
    </w:p>
    <w:p w:rsidR="00B407EB" w:rsidRPr="00A570B9" w:rsidRDefault="00B407EB" w:rsidP="00A570B9">
      <w:pPr>
        <w:spacing w:after="0" w:line="480" w:lineRule="auto"/>
        <w:ind w:firstLine="720"/>
        <w:jc w:val="both"/>
        <w:rPr>
          <w:rFonts w:ascii="Times New Roman" w:hAnsi="Times New Roman" w:cs="Times New Roman"/>
          <w:sz w:val="24"/>
          <w:szCs w:val="24"/>
        </w:rPr>
      </w:pPr>
    </w:p>
    <w:p w:rsidR="00446D41" w:rsidRPr="00A570B9" w:rsidRDefault="004A15BC" w:rsidP="00D36C12">
      <w:pPr>
        <w:spacing w:after="0" w:line="480" w:lineRule="auto"/>
        <w:jc w:val="center"/>
        <w:rPr>
          <w:rFonts w:ascii="Times New Roman" w:hAnsi="Times New Roman" w:cs="Times New Roman"/>
          <w:sz w:val="24"/>
          <w:szCs w:val="24"/>
        </w:rPr>
      </w:pPr>
      <w:r w:rsidRPr="00A570B9">
        <w:rPr>
          <w:rFonts w:ascii="Times New Roman" w:hAnsi="Times New Roman" w:cs="Times New Roman"/>
          <w:sz w:val="24"/>
          <w:szCs w:val="24"/>
        </w:rPr>
        <w:lastRenderedPageBreak/>
        <w:t>Reference</w:t>
      </w:r>
    </w:p>
    <w:p w:rsidR="00446D41" w:rsidRPr="00A570B9" w:rsidRDefault="004A15BC" w:rsidP="00D36C12">
      <w:pPr>
        <w:spacing w:after="0" w:line="480" w:lineRule="auto"/>
        <w:ind w:left="720" w:hanging="720"/>
        <w:jc w:val="both"/>
        <w:rPr>
          <w:rFonts w:ascii="Times New Roman" w:eastAsia="Times New Roman" w:hAnsi="Times New Roman" w:cs="Times New Roman"/>
          <w:sz w:val="24"/>
          <w:szCs w:val="24"/>
        </w:rPr>
      </w:pPr>
      <w:r w:rsidRPr="00A570B9">
        <w:rPr>
          <w:rFonts w:ascii="Times New Roman" w:eastAsia="Times New Roman" w:hAnsi="Times New Roman" w:cs="Times New Roman"/>
          <w:sz w:val="24"/>
          <w:szCs w:val="24"/>
        </w:rPr>
        <w:t>Venaik, S., &amp;Midgley, D. F. (2015). Mindscapes across landscapes: Archetypes of transnational and subnational culture. Journal of International Business Studies, 46(9), 1051-1079.</w:t>
      </w:r>
    </w:p>
    <w:p w:rsidR="00BA288A" w:rsidRPr="00A570B9" w:rsidRDefault="00BA288A" w:rsidP="00A570B9">
      <w:pPr>
        <w:spacing w:line="480" w:lineRule="auto"/>
        <w:jc w:val="both"/>
        <w:rPr>
          <w:rFonts w:ascii="Times New Roman" w:hAnsi="Times New Roman" w:cs="Times New Roman"/>
          <w:sz w:val="24"/>
          <w:szCs w:val="24"/>
        </w:rPr>
      </w:pPr>
    </w:p>
    <w:sectPr w:rsidR="00BA288A" w:rsidRPr="00A570B9" w:rsidSect="00B407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5BC" w:rsidRDefault="004A15BC" w:rsidP="00296931">
      <w:pPr>
        <w:spacing w:after="0" w:line="240" w:lineRule="auto"/>
      </w:pPr>
      <w:r>
        <w:separator/>
      </w:r>
    </w:p>
  </w:endnote>
  <w:endnote w:type="continuationSeparator" w:id="1">
    <w:p w:rsidR="004A15BC" w:rsidRDefault="004A15BC" w:rsidP="002969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5BC" w:rsidRDefault="004A15BC" w:rsidP="00296931">
      <w:pPr>
        <w:spacing w:after="0" w:line="240" w:lineRule="auto"/>
      </w:pPr>
      <w:r>
        <w:separator/>
      </w:r>
    </w:p>
  </w:footnote>
  <w:footnote w:type="continuationSeparator" w:id="1">
    <w:p w:rsidR="004A15BC" w:rsidRDefault="004A15BC" w:rsidP="002969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67247"/>
      <w:docPartObj>
        <w:docPartGallery w:val="Page Numbers (Top of Page)"/>
        <w:docPartUnique/>
      </w:docPartObj>
    </w:sdtPr>
    <w:sdtContent>
      <w:p w:rsidR="00A570B9" w:rsidRPr="00B407EB" w:rsidRDefault="00B407EB" w:rsidP="00B407EB">
        <w:pPr>
          <w:pStyle w:val="Header"/>
          <w:tabs>
            <w:tab w:val="right" w:pos="9360"/>
          </w:tabs>
          <w:rPr>
            <w:rFonts w:ascii="Times New Roman" w:hAnsi="Times New Roman" w:cs="Times New Roman"/>
            <w:sz w:val="24"/>
            <w:szCs w:val="24"/>
          </w:rPr>
        </w:pPr>
        <w:r w:rsidRPr="00B407EB">
          <w:rPr>
            <w:rFonts w:ascii="Times New Roman" w:hAnsi="Times New Roman" w:cs="Times New Roman"/>
            <w:sz w:val="24"/>
            <w:szCs w:val="24"/>
          </w:rPr>
          <w:t>SUMMARY</w:t>
        </w:r>
        <w:r w:rsidRPr="00B407EB">
          <w:rPr>
            <w:rFonts w:ascii="Times New Roman" w:hAnsi="Times New Roman" w:cs="Times New Roman"/>
            <w:sz w:val="24"/>
            <w:szCs w:val="24"/>
          </w:rPr>
          <w:tab/>
        </w:r>
        <w:r w:rsidRPr="00B407EB">
          <w:rPr>
            <w:rFonts w:ascii="Times New Roman" w:hAnsi="Times New Roman" w:cs="Times New Roman"/>
            <w:sz w:val="24"/>
            <w:szCs w:val="24"/>
          </w:rPr>
          <w:tab/>
        </w:r>
        <w:r w:rsidRPr="00B407EB">
          <w:rPr>
            <w:rFonts w:ascii="Times New Roman" w:hAnsi="Times New Roman" w:cs="Times New Roman"/>
            <w:sz w:val="24"/>
            <w:szCs w:val="24"/>
          </w:rPr>
          <w:tab/>
        </w:r>
        <w:r w:rsidRPr="00B407EB">
          <w:rPr>
            <w:rFonts w:ascii="Times New Roman" w:hAnsi="Times New Roman" w:cs="Times New Roman"/>
            <w:sz w:val="24"/>
            <w:szCs w:val="24"/>
          </w:rPr>
          <w:fldChar w:fldCharType="begin"/>
        </w:r>
        <w:r w:rsidRPr="00B407EB">
          <w:rPr>
            <w:rFonts w:ascii="Times New Roman" w:hAnsi="Times New Roman" w:cs="Times New Roman"/>
            <w:sz w:val="24"/>
            <w:szCs w:val="24"/>
          </w:rPr>
          <w:instrText xml:space="preserve"> PAGE   \* MERGEFORMAT </w:instrText>
        </w:r>
        <w:r w:rsidRPr="00B407EB">
          <w:rPr>
            <w:rFonts w:ascii="Times New Roman" w:hAnsi="Times New Roman" w:cs="Times New Roman"/>
            <w:sz w:val="24"/>
            <w:szCs w:val="24"/>
          </w:rPr>
          <w:fldChar w:fldCharType="separate"/>
        </w:r>
        <w:r w:rsidR="008A7069">
          <w:rPr>
            <w:rFonts w:ascii="Times New Roman" w:hAnsi="Times New Roman" w:cs="Times New Roman"/>
            <w:noProof/>
            <w:sz w:val="24"/>
            <w:szCs w:val="24"/>
          </w:rPr>
          <w:t>3</w:t>
        </w:r>
        <w:r w:rsidRPr="00B407E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0B9" w:rsidRPr="00B407EB" w:rsidRDefault="00B407EB" w:rsidP="00B407EB">
    <w:pPr>
      <w:pStyle w:val="Header"/>
      <w:jc w:val="right"/>
      <w:rPr>
        <w:rFonts w:ascii="Times New Roman" w:hAnsi="Times New Roman" w:cs="Times New Roman"/>
        <w:sz w:val="24"/>
        <w:szCs w:val="24"/>
      </w:rPr>
    </w:pPr>
    <w:r w:rsidRPr="00B407EB">
      <w:rPr>
        <w:rFonts w:ascii="Times New Roman" w:hAnsi="Times New Roman" w:cs="Times New Roman"/>
        <w:sz w:val="24"/>
        <w:szCs w:val="24"/>
      </w:rPr>
      <w:t xml:space="preserve">Running head: SUMMARY </w:t>
    </w:r>
    <w:r w:rsidRPr="00B407EB">
      <w:rPr>
        <w:rFonts w:ascii="Times New Roman" w:hAnsi="Times New Roman" w:cs="Times New Roman"/>
        <w:sz w:val="24"/>
        <w:szCs w:val="24"/>
      </w:rPr>
      <w:tab/>
    </w:r>
    <w:r w:rsidRPr="00B407EB">
      <w:rPr>
        <w:rFonts w:ascii="Times New Roman" w:hAnsi="Times New Roman" w:cs="Times New Roman"/>
        <w:sz w:val="24"/>
        <w:szCs w:val="24"/>
      </w:rPr>
      <w:tab/>
    </w:r>
    <w:sdt>
      <w:sdtPr>
        <w:rPr>
          <w:rFonts w:ascii="Times New Roman" w:hAnsi="Times New Roman" w:cs="Times New Roman"/>
          <w:sz w:val="24"/>
          <w:szCs w:val="24"/>
        </w:rPr>
        <w:id w:val="1667219"/>
        <w:docPartObj>
          <w:docPartGallery w:val="Page Numbers (Top of Page)"/>
          <w:docPartUnique/>
        </w:docPartObj>
      </w:sdtPr>
      <w:sdtContent>
        <w:r w:rsidRPr="00B407EB">
          <w:rPr>
            <w:rFonts w:ascii="Times New Roman" w:hAnsi="Times New Roman" w:cs="Times New Roman"/>
            <w:sz w:val="24"/>
            <w:szCs w:val="24"/>
          </w:rPr>
          <w:fldChar w:fldCharType="begin"/>
        </w:r>
        <w:r w:rsidRPr="00B407EB">
          <w:rPr>
            <w:rFonts w:ascii="Times New Roman" w:hAnsi="Times New Roman" w:cs="Times New Roman"/>
            <w:sz w:val="24"/>
            <w:szCs w:val="24"/>
          </w:rPr>
          <w:instrText xml:space="preserve"> PAGE   \* MERGEFORMAT </w:instrText>
        </w:r>
        <w:r w:rsidRPr="00B407EB">
          <w:rPr>
            <w:rFonts w:ascii="Times New Roman" w:hAnsi="Times New Roman" w:cs="Times New Roman"/>
            <w:sz w:val="24"/>
            <w:szCs w:val="24"/>
          </w:rPr>
          <w:fldChar w:fldCharType="separate"/>
        </w:r>
        <w:r>
          <w:rPr>
            <w:rFonts w:ascii="Times New Roman" w:hAnsi="Times New Roman" w:cs="Times New Roman"/>
            <w:noProof/>
            <w:sz w:val="24"/>
            <w:szCs w:val="24"/>
          </w:rPr>
          <w:t>1</w:t>
        </w:r>
        <w:r w:rsidRPr="00B407E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0309B"/>
    <w:rsid w:val="00145BE5"/>
    <w:rsid w:val="001B452F"/>
    <w:rsid w:val="00241DDA"/>
    <w:rsid w:val="00296931"/>
    <w:rsid w:val="00446D41"/>
    <w:rsid w:val="004A15BC"/>
    <w:rsid w:val="0057408E"/>
    <w:rsid w:val="005D2241"/>
    <w:rsid w:val="00806A4D"/>
    <w:rsid w:val="00861339"/>
    <w:rsid w:val="008A7069"/>
    <w:rsid w:val="00922D8A"/>
    <w:rsid w:val="00A0217D"/>
    <w:rsid w:val="00A570B9"/>
    <w:rsid w:val="00B407EB"/>
    <w:rsid w:val="00BA288A"/>
    <w:rsid w:val="00C0309B"/>
    <w:rsid w:val="00D25492"/>
    <w:rsid w:val="00D36C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9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241"/>
    <w:rPr>
      <w:rFonts w:ascii="Tahoma" w:hAnsi="Tahoma" w:cs="Tahoma"/>
      <w:sz w:val="16"/>
      <w:szCs w:val="16"/>
    </w:rPr>
  </w:style>
  <w:style w:type="paragraph" w:styleId="Header">
    <w:name w:val="header"/>
    <w:basedOn w:val="Normal"/>
    <w:link w:val="HeaderChar"/>
    <w:uiPriority w:val="99"/>
    <w:unhideWhenUsed/>
    <w:rsid w:val="00A570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70B9"/>
  </w:style>
  <w:style w:type="paragraph" w:styleId="Footer">
    <w:name w:val="footer"/>
    <w:basedOn w:val="Normal"/>
    <w:link w:val="FooterChar"/>
    <w:uiPriority w:val="99"/>
    <w:unhideWhenUsed/>
    <w:rsid w:val="00A57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70B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Jack</cp:lastModifiedBy>
  <cp:revision>2</cp:revision>
  <dcterms:created xsi:type="dcterms:W3CDTF">2020-01-23T06:55:00Z</dcterms:created>
  <dcterms:modified xsi:type="dcterms:W3CDTF">2020-01-23T06:55:00Z</dcterms:modified>
</cp:coreProperties>
</file>