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B51E0E">
      <w:pPr>
        <w:spacing w:after="0" w:line="480" w:lineRule="auto"/>
        <w:ind w:firstLine="720"/>
        <w:contextualSpacing/>
        <w:jc w:val="center"/>
      </w:pPr>
      <w:bookmarkStart w:id="0" w:name="_GoBack"/>
    </w:p>
    <w:p w14:paraId="7B94189B" w14:textId="77777777" w:rsidR="00DB3A96" w:rsidRDefault="00DB3A96" w:rsidP="00B51E0E">
      <w:pPr>
        <w:spacing w:after="0" w:line="480" w:lineRule="auto"/>
        <w:ind w:firstLine="720"/>
        <w:contextualSpacing/>
        <w:jc w:val="center"/>
      </w:pPr>
    </w:p>
    <w:p w14:paraId="7B80DCEE" w14:textId="77777777" w:rsidR="00DB3A96" w:rsidRDefault="00DB3A96" w:rsidP="00B51E0E">
      <w:pPr>
        <w:spacing w:after="0" w:line="480" w:lineRule="auto"/>
        <w:ind w:firstLine="720"/>
        <w:contextualSpacing/>
        <w:jc w:val="center"/>
      </w:pPr>
    </w:p>
    <w:p w14:paraId="3A393D78" w14:textId="77777777" w:rsidR="00DB3A96" w:rsidRDefault="00DB3A96" w:rsidP="00B51E0E">
      <w:pPr>
        <w:spacing w:after="0" w:line="480" w:lineRule="auto"/>
        <w:ind w:firstLine="720"/>
        <w:contextualSpacing/>
        <w:jc w:val="center"/>
      </w:pPr>
    </w:p>
    <w:p w14:paraId="40F7FE95" w14:textId="77777777" w:rsidR="00DB3A96" w:rsidRDefault="00DB3A96" w:rsidP="00B51E0E">
      <w:pPr>
        <w:spacing w:after="0" w:line="480" w:lineRule="auto"/>
        <w:ind w:firstLine="720"/>
        <w:contextualSpacing/>
        <w:jc w:val="center"/>
      </w:pPr>
    </w:p>
    <w:p w14:paraId="04EE79BE" w14:textId="77777777" w:rsidR="00DB3A96" w:rsidRDefault="00DB3A96" w:rsidP="00B51E0E">
      <w:pPr>
        <w:spacing w:after="0" w:line="480" w:lineRule="auto"/>
        <w:ind w:firstLine="720"/>
        <w:contextualSpacing/>
        <w:jc w:val="center"/>
      </w:pPr>
    </w:p>
    <w:p w14:paraId="4BC118CF" w14:textId="5405B053" w:rsidR="00DB3A96" w:rsidRPr="004C26F9" w:rsidRDefault="00E37A9A" w:rsidP="00B51E0E">
      <w:pPr>
        <w:spacing w:after="0" w:line="480" w:lineRule="auto"/>
        <w:ind w:firstLine="720"/>
        <w:contextualSpacing/>
        <w:jc w:val="center"/>
      </w:pPr>
      <w:r>
        <w:t>Support for LGBTQ Youth</w:t>
      </w:r>
    </w:p>
    <w:p w14:paraId="6CCB5F0E" w14:textId="0E99C616" w:rsidR="00DB3A96" w:rsidRDefault="00124E96" w:rsidP="00B51E0E">
      <w:pPr>
        <w:spacing w:after="0" w:line="480" w:lineRule="auto"/>
        <w:ind w:firstLine="720"/>
        <w:contextualSpacing/>
        <w:jc w:val="center"/>
      </w:pPr>
      <w:r>
        <w:t>Student’s Name</w:t>
      </w:r>
    </w:p>
    <w:p w14:paraId="1F2B41CE" w14:textId="177FD1B1" w:rsidR="00F94065" w:rsidRDefault="00F94065" w:rsidP="00B51E0E">
      <w:pPr>
        <w:spacing w:after="0" w:line="480" w:lineRule="auto"/>
        <w:ind w:firstLine="720"/>
        <w:contextualSpacing/>
        <w:jc w:val="center"/>
      </w:pPr>
      <w:r>
        <w:t>Tutor’s Name</w:t>
      </w:r>
    </w:p>
    <w:p w14:paraId="0FB61EB2" w14:textId="65439858" w:rsidR="00395827" w:rsidRDefault="00F94065" w:rsidP="00B51E0E">
      <w:pPr>
        <w:spacing w:after="0" w:line="480" w:lineRule="auto"/>
        <w:ind w:firstLine="720"/>
        <w:contextualSpacing/>
        <w:jc w:val="center"/>
      </w:pPr>
      <w:r>
        <w:t>Course</w:t>
      </w:r>
    </w:p>
    <w:p w14:paraId="3F1D61F4" w14:textId="7EEB7672" w:rsidR="00F94065" w:rsidRDefault="00F94065" w:rsidP="00B51E0E">
      <w:pPr>
        <w:spacing w:after="0" w:line="480" w:lineRule="auto"/>
        <w:ind w:firstLine="720"/>
        <w:contextualSpacing/>
        <w:jc w:val="center"/>
      </w:pPr>
      <w:r>
        <w:t>Date</w:t>
      </w:r>
    </w:p>
    <w:p w14:paraId="12E8E400" w14:textId="7B1F540A" w:rsidR="00922BCF" w:rsidRDefault="00395827" w:rsidP="00B51E0E">
      <w:pPr>
        <w:spacing w:after="0" w:line="480" w:lineRule="auto"/>
        <w:contextualSpacing/>
      </w:pPr>
      <w:r>
        <w:br w:type="page"/>
      </w:r>
    </w:p>
    <w:p w14:paraId="5A013F68" w14:textId="3B4C1F81" w:rsidR="0073766B" w:rsidRDefault="00E37A9A" w:rsidP="00B51E0E">
      <w:pPr>
        <w:tabs>
          <w:tab w:val="left" w:pos="5205"/>
        </w:tabs>
        <w:spacing w:after="0" w:line="480" w:lineRule="auto"/>
        <w:contextualSpacing/>
        <w:jc w:val="center"/>
      </w:pPr>
      <w:r>
        <w:lastRenderedPageBreak/>
        <w:t>Support for LGBTQ Youth</w:t>
      </w:r>
    </w:p>
    <w:p w14:paraId="3CBC993F" w14:textId="47E28349" w:rsidR="00870590" w:rsidRDefault="00870590" w:rsidP="00B51E0E">
      <w:pPr>
        <w:spacing w:after="0" w:line="480" w:lineRule="auto"/>
        <w:ind w:firstLine="720"/>
        <w:contextualSpacing/>
        <w:jc w:val="center"/>
      </w:pPr>
      <w:r>
        <w:t>Introduction</w:t>
      </w:r>
    </w:p>
    <w:p w14:paraId="66EAA641" w14:textId="2A4FD7EF" w:rsidR="0048712A" w:rsidRDefault="0048712A" w:rsidP="00B51E0E">
      <w:pPr>
        <w:spacing w:after="0" w:line="480" w:lineRule="auto"/>
        <w:ind w:firstLine="720"/>
        <w:contextualSpacing/>
      </w:pPr>
      <w:r>
        <w:t>Young people are often striving for acceptance in their social groups, but it may be hard for youths who identify as Lesbians, Gar, Bisexual, Transgender, or Queer individuals. Supporting these minority groups could help ensure that their confidence, self-esteem, and resilience are boosted. There are people that young people look up to for emulation, especially parents and other role models, and LBGTQ youths are not different. Hence, as a parent or a role model, showing support and encouragement to youths of the LGBTQ community would play a vital role in their lives. There are several ways of supporting a young person who identifies as LGBTQ, such as keeping an open mind and showing high understanding levels, getting educated about LGBTQ issues and trends, and openly and aggressively fighting against anti-LGBTQ policies ideas, among others.</w:t>
      </w:r>
    </w:p>
    <w:p w14:paraId="03D5FB7C" w14:textId="77777777" w:rsidR="00037551" w:rsidRPr="00037551" w:rsidRDefault="00037551" w:rsidP="00B51E0E">
      <w:pPr>
        <w:spacing w:after="0" w:line="480" w:lineRule="auto"/>
        <w:ind w:firstLine="720"/>
        <w:contextualSpacing/>
        <w:jc w:val="center"/>
        <w:rPr>
          <w:b/>
        </w:rPr>
      </w:pPr>
      <w:r w:rsidRPr="00037551">
        <w:rPr>
          <w:b/>
        </w:rPr>
        <w:t>Showing Understanding</w:t>
      </w:r>
    </w:p>
    <w:p w14:paraId="52F8F21D" w14:textId="431D7D38" w:rsidR="0048712A" w:rsidRDefault="0048712A" w:rsidP="00B51E0E">
      <w:pPr>
        <w:spacing w:after="0" w:line="480" w:lineRule="auto"/>
        <w:ind w:firstLine="720"/>
        <w:contextualSpacing/>
      </w:pPr>
      <w:r>
        <w:t>According to a Human Rights Campaign report, only 24 percent of LGBTQ youths of ages 13 and 17 felt comfortable about their sexual orientation. This small percentage was attributed to a lack of understanding among parents, friends, and other relatives (</w:t>
      </w:r>
      <w:proofErr w:type="spellStart"/>
      <w:r>
        <w:t>Baz</w:t>
      </w:r>
      <w:proofErr w:type="spellEnd"/>
      <w:r>
        <w:t>, 2016). As a parent or a community member, one should keep an open mind while interacting with these youths to express themselves freely. Most adolescents feel that they can open up to people who would understand them, which is why they mainly open up more to their peers. However, LGBTQ teens may not be free among their peers and, therefore, may require other understanding individuals such as their parents. As a parent, loving the child unconditionally is essential, including supporting one's child despite their sexual orientation.</w:t>
      </w:r>
    </w:p>
    <w:p w14:paraId="7DE6606B" w14:textId="1AF2B82C" w:rsidR="00037551" w:rsidRPr="00037551" w:rsidRDefault="00037551" w:rsidP="00B51E0E">
      <w:pPr>
        <w:spacing w:after="0" w:line="480" w:lineRule="auto"/>
        <w:ind w:firstLine="720"/>
        <w:contextualSpacing/>
        <w:jc w:val="center"/>
        <w:rPr>
          <w:b/>
        </w:rPr>
      </w:pPr>
      <w:r>
        <w:rPr>
          <w:b/>
        </w:rPr>
        <w:t>Being S</w:t>
      </w:r>
      <w:r w:rsidRPr="00037551">
        <w:rPr>
          <w:b/>
        </w:rPr>
        <w:t>ufficiently Informed</w:t>
      </w:r>
    </w:p>
    <w:p w14:paraId="336D2EF5" w14:textId="0A0DD658" w:rsidR="0048712A" w:rsidRDefault="0048712A" w:rsidP="00B51E0E">
      <w:pPr>
        <w:spacing w:after="0" w:line="480" w:lineRule="auto"/>
        <w:ind w:firstLine="720"/>
        <w:contextualSpacing/>
      </w:pPr>
      <w:r>
        <w:t>Additionally, supporters of LGBTQ communities may have difficulties understanding or fully providing required support if they are not well informed about the issues and trends concerning LGBTQ. Laws about human rights and equality are often changing, and some might be entirely against the support of minority groups such as LGBTQ (Clayton, 2017). Whenever one discusses LGBTQ issues with a young member of the group, there may be a misunderstanding if one is not adequately informed. For instance, a youth may be angry about some parts of the law that he or she feels do not fully consider their feelings. If the young person explains this to a person who is not educated on a particular part of the law, they may feel misunderstood, and their confidence may be consequentially lowered. To fully express empathy for an LGBTQ youth's feelings, one must be fully aware of the trends and issues affecting this group.</w:t>
      </w:r>
    </w:p>
    <w:p w14:paraId="760B269B" w14:textId="77777777" w:rsidR="00D17696" w:rsidRPr="00D17696" w:rsidRDefault="00D17696" w:rsidP="00B51E0E">
      <w:pPr>
        <w:spacing w:after="0" w:line="480" w:lineRule="auto"/>
        <w:ind w:firstLine="720"/>
        <w:contextualSpacing/>
        <w:jc w:val="center"/>
        <w:rPr>
          <w:b/>
        </w:rPr>
      </w:pPr>
      <w:r w:rsidRPr="00D17696">
        <w:rPr>
          <w:b/>
        </w:rPr>
        <w:t>Fighting Anti-LGBTQ</w:t>
      </w:r>
    </w:p>
    <w:p w14:paraId="7EAF4078" w14:textId="24D4F256" w:rsidR="0048712A" w:rsidRDefault="0048712A" w:rsidP="00B51E0E">
      <w:pPr>
        <w:spacing w:after="0" w:line="480" w:lineRule="auto"/>
        <w:ind w:firstLine="720"/>
        <w:contextualSpacing/>
      </w:pPr>
      <w:r>
        <w:t xml:space="preserve">Being informed about the current issues facing LGBTQ communities may be a massive step towards supporting LGBTQ youths, but a more significant step would be </w:t>
      </w:r>
      <w:proofErr w:type="gramStart"/>
      <w:r>
        <w:t>to</w:t>
      </w:r>
      <w:proofErr w:type="gramEnd"/>
      <w:r>
        <w:t xml:space="preserve"> openly and aggressively fight any kind of gender discrimination. While youths may feel secret about their sexual orientation due to the fear of discrimination, they would feel more confident and assertive if the people closest to them show that they are undeniably on their side (</w:t>
      </w:r>
      <w:proofErr w:type="spellStart"/>
      <w:r>
        <w:t>Gillig</w:t>
      </w:r>
      <w:proofErr w:type="spellEnd"/>
      <w:r>
        <w:t xml:space="preserve"> &amp; Murphy, 2016). As parents, making aggressive comments and showing empathy on sexual orientation topics may announce one's stand to their LGBTQ children, thus allowing them the comfort of being themselves at home. Openly showing support for LGBTQ organizations and going against anti-LGBTQ ideas may make the youth feel more confident to be proud of their genders and sexual orientation.</w:t>
      </w:r>
    </w:p>
    <w:p w14:paraId="34566461" w14:textId="24494923" w:rsidR="00A170B9" w:rsidRDefault="0048712A" w:rsidP="00B51E0E">
      <w:pPr>
        <w:spacing w:after="0" w:line="480" w:lineRule="auto"/>
        <w:ind w:firstLine="720"/>
        <w:contextualSpacing/>
        <w:rPr>
          <w:rFonts w:eastAsia="Calibri"/>
        </w:rPr>
      </w:pPr>
      <w:r>
        <w:t>In conclusion, the youth, especially teenagers who identify themselves as LGBTQ individuals, may require added support to boost their confidence and make them comfortable members of society. Parents and other role models to these children need to be at the frontline of this supportive approach. Various ways of showing support to these young persons may include fighting against anti-LGBTQ ideas, being adequately informed about the trends in LGBTQ laws and policies, and showing high understanding levels by keeping an open mind. Without the support of individuals closest to them, the future of these young people may be disappointing.</w:t>
      </w:r>
    </w:p>
    <w:p w14:paraId="272F22B5" w14:textId="77777777" w:rsidR="00B640FD" w:rsidRDefault="00B640FD" w:rsidP="00B51E0E">
      <w:pPr>
        <w:spacing w:after="0" w:line="480" w:lineRule="auto"/>
        <w:ind w:firstLine="720"/>
        <w:contextualSpacing/>
        <w:rPr>
          <w:rFonts w:eastAsia="Calibri"/>
        </w:rPr>
      </w:pPr>
    </w:p>
    <w:p w14:paraId="3F43575C" w14:textId="77777777" w:rsidR="0051003B" w:rsidRDefault="0051003B" w:rsidP="00B51E0E">
      <w:pPr>
        <w:spacing w:after="0" w:line="480" w:lineRule="auto"/>
        <w:ind w:firstLine="720"/>
        <w:contextualSpacing/>
        <w:rPr>
          <w:rFonts w:eastAsia="Calibri"/>
        </w:rPr>
      </w:pPr>
    </w:p>
    <w:p w14:paraId="329BE757" w14:textId="7B090B3F" w:rsidR="00E96A0F" w:rsidRPr="0073766B" w:rsidRDefault="00E96A0F" w:rsidP="00B51E0E">
      <w:pPr>
        <w:spacing w:after="0" w:line="480" w:lineRule="auto"/>
        <w:ind w:firstLine="720"/>
        <w:contextualSpacing/>
        <w:rPr>
          <w:rFonts w:eastAsia="Calibri"/>
        </w:rPr>
      </w:pPr>
      <w:r w:rsidRPr="0073766B">
        <w:rPr>
          <w:rFonts w:eastAsia="Calibri"/>
        </w:rPr>
        <w:br w:type="page"/>
      </w:r>
    </w:p>
    <w:p w14:paraId="5FB01604" w14:textId="682057D4" w:rsidR="0067082D" w:rsidRDefault="00750E45" w:rsidP="00B51E0E">
      <w:pPr>
        <w:spacing w:after="0" w:line="480" w:lineRule="auto"/>
        <w:contextualSpacing/>
        <w:jc w:val="center"/>
        <w:rPr>
          <w:rFonts w:eastAsia="Calibri"/>
        </w:rPr>
      </w:pPr>
      <w:r>
        <w:rPr>
          <w:rFonts w:eastAsia="Calibri"/>
        </w:rPr>
        <w:t>References</w:t>
      </w:r>
    </w:p>
    <w:p w14:paraId="6648AF9A" w14:textId="77777777" w:rsidR="006A02E3" w:rsidRDefault="006A02E3" w:rsidP="00B51E0E">
      <w:pPr>
        <w:tabs>
          <w:tab w:val="left" w:pos="720"/>
        </w:tabs>
        <w:spacing w:after="0" w:line="480" w:lineRule="auto"/>
        <w:ind w:left="720" w:hanging="720"/>
        <w:contextualSpacing/>
        <w:rPr>
          <w:rFonts w:eastAsia="Calibri"/>
        </w:rPr>
      </w:pPr>
      <w:proofErr w:type="spellStart"/>
      <w:r w:rsidRPr="006A02E3">
        <w:rPr>
          <w:rFonts w:eastAsia="Calibri"/>
        </w:rPr>
        <w:t>Baz</w:t>
      </w:r>
      <w:proofErr w:type="spellEnd"/>
      <w:r w:rsidRPr="006A02E3">
        <w:rPr>
          <w:rFonts w:eastAsia="Calibri"/>
        </w:rPr>
        <w:t>, R. G. (2016). Spotlight on: The Human Rights Campaign. </w:t>
      </w:r>
      <w:proofErr w:type="gramStart"/>
      <w:r w:rsidRPr="006A02E3">
        <w:rPr>
          <w:rFonts w:eastAsia="Calibri"/>
          <w:i/>
          <w:iCs/>
        </w:rPr>
        <w:t>Child.</w:t>
      </w:r>
      <w:proofErr w:type="gramEnd"/>
      <w:r w:rsidRPr="006A02E3">
        <w:rPr>
          <w:rFonts w:eastAsia="Calibri"/>
          <w:i/>
          <w:iCs/>
        </w:rPr>
        <w:t xml:space="preserve"> Legal </w:t>
      </w:r>
      <w:proofErr w:type="spellStart"/>
      <w:r w:rsidRPr="006A02E3">
        <w:rPr>
          <w:rFonts w:eastAsia="Calibri"/>
          <w:i/>
          <w:iCs/>
        </w:rPr>
        <w:t>Rts</w:t>
      </w:r>
      <w:proofErr w:type="spellEnd"/>
      <w:r w:rsidRPr="006A02E3">
        <w:rPr>
          <w:rFonts w:eastAsia="Calibri"/>
          <w:i/>
          <w:iCs/>
        </w:rPr>
        <w:t>. J.</w:t>
      </w:r>
      <w:r w:rsidRPr="006A02E3">
        <w:rPr>
          <w:rFonts w:eastAsia="Calibri"/>
        </w:rPr>
        <w:t>, </w:t>
      </w:r>
      <w:r w:rsidRPr="006A02E3">
        <w:rPr>
          <w:rFonts w:eastAsia="Calibri"/>
          <w:i/>
          <w:iCs/>
        </w:rPr>
        <w:t>36</w:t>
      </w:r>
      <w:r w:rsidRPr="006A02E3">
        <w:rPr>
          <w:rFonts w:eastAsia="Calibri"/>
        </w:rPr>
        <w:t xml:space="preserve">, 137. </w:t>
      </w:r>
    </w:p>
    <w:p w14:paraId="1DC34E11" w14:textId="0D859086" w:rsidR="00C61E67" w:rsidRDefault="007707E6" w:rsidP="00B51E0E">
      <w:pPr>
        <w:tabs>
          <w:tab w:val="left" w:pos="720"/>
        </w:tabs>
        <w:spacing w:after="0" w:line="480" w:lineRule="auto"/>
        <w:ind w:left="720" w:hanging="720"/>
        <w:contextualSpacing/>
        <w:rPr>
          <w:rFonts w:eastAsia="Calibri"/>
        </w:rPr>
      </w:pPr>
      <w:r w:rsidRPr="007707E6">
        <w:rPr>
          <w:rFonts w:eastAsia="Calibri"/>
        </w:rPr>
        <w:t>Clayton, J. D. (2017). </w:t>
      </w:r>
      <w:r w:rsidRPr="007707E6">
        <w:rPr>
          <w:rFonts w:eastAsia="Calibri"/>
          <w:i/>
          <w:iCs/>
        </w:rPr>
        <w:t>Teachers Helping LGBTQ Teens: The Role of Empathy, Attitudes, and Ally Identity</w:t>
      </w:r>
      <w:r w:rsidRPr="007707E6">
        <w:rPr>
          <w:rFonts w:eastAsia="Calibri"/>
        </w:rPr>
        <w:t> (Doctoral dissertation, Fordham University).</w:t>
      </w:r>
    </w:p>
    <w:p w14:paraId="11E87258" w14:textId="6E5D6361" w:rsidR="007707E6" w:rsidRPr="001D2614" w:rsidRDefault="006A02E3" w:rsidP="00B51E0E">
      <w:pPr>
        <w:tabs>
          <w:tab w:val="left" w:pos="720"/>
        </w:tabs>
        <w:spacing w:after="0" w:line="480" w:lineRule="auto"/>
        <w:ind w:left="720" w:hanging="720"/>
        <w:contextualSpacing/>
        <w:rPr>
          <w:rFonts w:eastAsia="Calibri"/>
        </w:rPr>
      </w:pPr>
      <w:proofErr w:type="spellStart"/>
      <w:r w:rsidRPr="006A02E3">
        <w:rPr>
          <w:rFonts w:eastAsia="Calibri"/>
        </w:rPr>
        <w:t>Gillig</w:t>
      </w:r>
      <w:proofErr w:type="spellEnd"/>
      <w:r w:rsidRPr="006A02E3">
        <w:rPr>
          <w:rFonts w:eastAsia="Calibri"/>
        </w:rPr>
        <w:t>, T., &amp; Murphy, S. (2016). Fostering support for LGBTQ youth? The effects of a gay adolescent media portrayal on young viewers. </w:t>
      </w:r>
      <w:r w:rsidRPr="006A02E3">
        <w:rPr>
          <w:rFonts w:eastAsia="Calibri"/>
          <w:i/>
          <w:iCs/>
        </w:rPr>
        <w:t>International Journal of Communication</w:t>
      </w:r>
      <w:r w:rsidRPr="006A02E3">
        <w:rPr>
          <w:rFonts w:eastAsia="Calibri"/>
        </w:rPr>
        <w:t>, </w:t>
      </w:r>
      <w:r w:rsidRPr="006A02E3">
        <w:rPr>
          <w:rFonts w:eastAsia="Calibri"/>
          <w:i/>
          <w:iCs/>
        </w:rPr>
        <w:t>10</w:t>
      </w:r>
      <w:r w:rsidRPr="006A02E3">
        <w:rPr>
          <w:rFonts w:eastAsia="Calibri"/>
        </w:rPr>
        <w:t>, 23.</w:t>
      </w:r>
      <w:bookmarkEnd w:id="0"/>
    </w:p>
    <w:sectPr w:rsidR="007707E6" w:rsidRPr="001D2614"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40A271" w14:textId="77777777" w:rsidR="00B47AA0" w:rsidRDefault="00B47AA0">
      <w:pPr>
        <w:spacing w:after="0" w:line="240" w:lineRule="auto"/>
      </w:pPr>
      <w:r>
        <w:separator/>
      </w:r>
    </w:p>
  </w:endnote>
  <w:endnote w:type="continuationSeparator" w:id="0">
    <w:p w14:paraId="2D5D5E43" w14:textId="77777777" w:rsidR="00B47AA0" w:rsidRDefault="00B47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B474B1" w14:textId="77777777" w:rsidR="00B47AA0" w:rsidRDefault="00B47AA0">
      <w:pPr>
        <w:spacing w:after="0" w:line="240" w:lineRule="auto"/>
      </w:pPr>
      <w:r>
        <w:separator/>
      </w:r>
    </w:p>
  </w:footnote>
  <w:footnote w:type="continuationSeparator" w:id="0">
    <w:p w14:paraId="1AA35C6A" w14:textId="77777777" w:rsidR="00B47AA0" w:rsidRDefault="00B47A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37551"/>
    <w:rsid w:val="0004099B"/>
    <w:rsid w:val="0005070E"/>
    <w:rsid w:val="000609DC"/>
    <w:rsid w:val="00061A36"/>
    <w:rsid w:val="00082D4F"/>
    <w:rsid w:val="000858DE"/>
    <w:rsid w:val="000942A1"/>
    <w:rsid w:val="000A3DCB"/>
    <w:rsid w:val="000B7AE1"/>
    <w:rsid w:val="000C5964"/>
    <w:rsid w:val="000E586C"/>
    <w:rsid w:val="000E660E"/>
    <w:rsid w:val="000F0D68"/>
    <w:rsid w:val="00120FC6"/>
    <w:rsid w:val="00123208"/>
    <w:rsid w:val="00124E96"/>
    <w:rsid w:val="00125E90"/>
    <w:rsid w:val="00127E8D"/>
    <w:rsid w:val="00132D77"/>
    <w:rsid w:val="00134E38"/>
    <w:rsid w:val="00162FD4"/>
    <w:rsid w:val="001717BF"/>
    <w:rsid w:val="0017580C"/>
    <w:rsid w:val="001922D4"/>
    <w:rsid w:val="00194748"/>
    <w:rsid w:val="001954F1"/>
    <w:rsid w:val="001B4B5C"/>
    <w:rsid w:val="001B78AC"/>
    <w:rsid w:val="001C3356"/>
    <w:rsid w:val="001C494F"/>
    <w:rsid w:val="001C514F"/>
    <w:rsid w:val="001C72B7"/>
    <w:rsid w:val="001D2614"/>
    <w:rsid w:val="001D6D4F"/>
    <w:rsid w:val="001E69BA"/>
    <w:rsid w:val="001E72D2"/>
    <w:rsid w:val="00200448"/>
    <w:rsid w:val="00205334"/>
    <w:rsid w:val="00205F60"/>
    <w:rsid w:val="00225CC7"/>
    <w:rsid w:val="00235EF5"/>
    <w:rsid w:val="00242F13"/>
    <w:rsid w:val="00250936"/>
    <w:rsid w:val="0025568D"/>
    <w:rsid w:val="00274616"/>
    <w:rsid w:val="00283A80"/>
    <w:rsid w:val="002956F7"/>
    <w:rsid w:val="00295E67"/>
    <w:rsid w:val="002A3E80"/>
    <w:rsid w:val="002A5C2E"/>
    <w:rsid w:val="002B4377"/>
    <w:rsid w:val="002B570E"/>
    <w:rsid w:val="002E42EA"/>
    <w:rsid w:val="002E5CCB"/>
    <w:rsid w:val="00312ECD"/>
    <w:rsid w:val="00325EA2"/>
    <w:rsid w:val="00327972"/>
    <w:rsid w:val="00331569"/>
    <w:rsid w:val="00341A79"/>
    <w:rsid w:val="00391085"/>
    <w:rsid w:val="00395827"/>
    <w:rsid w:val="003A4C4D"/>
    <w:rsid w:val="003B67B6"/>
    <w:rsid w:val="003B7B64"/>
    <w:rsid w:val="003C0699"/>
    <w:rsid w:val="003D1C0B"/>
    <w:rsid w:val="003E0DF3"/>
    <w:rsid w:val="00400081"/>
    <w:rsid w:val="004011FA"/>
    <w:rsid w:val="0041003C"/>
    <w:rsid w:val="00411C50"/>
    <w:rsid w:val="0042628F"/>
    <w:rsid w:val="00430421"/>
    <w:rsid w:val="004443AA"/>
    <w:rsid w:val="00445721"/>
    <w:rsid w:val="004575B8"/>
    <w:rsid w:val="00461393"/>
    <w:rsid w:val="004856FF"/>
    <w:rsid w:val="0048712A"/>
    <w:rsid w:val="0049349B"/>
    <w:rsid w:val="004A0EC2"/>
    <w:rsid w:val="004C26F9"/>
    <w:rsid w:val="004F73FC"/>
    <w:rsid w:val="0051003B"/>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91B3B"/>
    <w:rsid w:val="006A02E3"/>
    <w:rsid w:val="006A4049"/>
    <w:rsid w:val="006A4738"/>
    <w:rsid w:val="006A69D2"/>
    <w:rsid w:val="006B0BF7"/>
    <w:rsid w:val="006B4A90"/>
    <w:rsid w:val="006E14E5"/>
    <w:rsid w:val="006E4A0E"/>
    <w:rsid w:val="006E6301"/>
    <w:rsid w:val="006E68AE"/>
    <w:rsid w:val="006E72B6"/>
    <w:rsid w:val="006F5729"/>
    <w:rsid w:val="007040C0"/>
    <w:rsid w:val="00711A6B"/>
    <w:rsid w:val="00717001"/>
    <w:rsid w:val="0073766B"/>
    <w:rsid w:val="00750E45"/>
    <w:rsid w:val="00764CD8"/>
    <w:rsid w:val="007707E6"/>
    <w:rsid w:val="007811A5"/>
    <w:rsid w:val="007856BC"/>
    <w:rsid w:val="007907D2"/>
    <w:rsid w:val="0079459F"/>
    <w:rsid w:val="00795EA9"/>
    <w:rsid w:val="007D4494"/>
    <w:rsid w:val="007E7A9F"/>
    <w:rsid w:val="0080071D"/>
    <w:rsid w:val="00811881"/>
    <w:rsid w:val="00870590"/>
    <w:rsid w:val="00871AF1"/>
    <w:rsid w:val="00890F00"/>
    <w:rsid w:val="008978BA"/>
    <w:rsid w:val="008A7A6D"/>
    <w:rsid w:val="008B14DF"/>
    <w:rsid w:val="008D09D4"/>
    <w:rsid w:val="008D4196"/>
    <w:rsid w:val="008D5CDA"/>
    <w:rsid w:val="008E0EC4"/>
    <w:rsid w:val="008F4073"/>
    <w:rsid w:val="008F42A8"/>
    <w:rsid w:val="008F49DB"/>
    <w:rsid w:val="008F771A"/>
    <w:rsid w:val="00901608"/>
    <w:rsid w:val="00922BCF"/>
    <w:rsid w:val="00954BED"/>
    <w:rsid w:val="00962EF5"/>
    <w:rsid w:val="009649B3"/>
    <w:rsid w:val="00983CF5"/>
    <w:rsid w:val="00990F8C"/>
    <w:rsid w:val="0099419B"/>
    <w:rsid w:val="009C5022"/>
    <w:rsid w:val="009E5128"/>
    <w:rsid w:val="00A021D2"/>
    <w:rsid w:val="00A109A6"/>
    <w:rsid w:val="00A15DAA"/>
    <w:rsid w:val="00A170B9"/>
    <w:rsid w:val="00A21CAB"/>
    <w:rsid w:val="00A23F14"/>
    <w:rsid w:val="00A305D2"/>
    <w:rsid w:val="00A65313"/>
    <w:rsid w:val="00A6674A"/>
    <w:rsid w:val="00A7614D"/>
    <w:rsid w:val="00A908CB"/>
    <w:rsid w:val="00A90FD1"/>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5020"/>
    <w:rsid w:val="00B31994"/>
    <w:rsid w:val="00B34385"/>
    <w:rsid w:val="00B3541B"/>
    <w:rsid w:val="00B47AA0"/>
    <w:rsid w:val="00B51E0E"/>
    <w:rsid w:val="00B53B90"/>
    <w:rsid w:val="00B640FD"/>
    <w:rsid w:val="00B651CF"/>
    <w:rsid w:val="00BB59BC"/>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1E88"/>
    <w:rsid w:val="00CF3551"/>
    <w:rsid w:val="00D17696"/>
    <w:rsid w:val="00D32346"/>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37A9A"/>
    <w:rsid w:val="00E46D5E"/>
    <w:rsid w:val="00E65939"/>
    <w:rsid w:val="00E906C8"/>
    <w:rsid w:val="00E96A0F"/>
    <w:rsid w:val="00EA2B88"/>
    <w:rsid w:val="00EC2021"/>
    <w:rsid w:val="00EC6032"/>
    <w:rsid w:val="00ED741D"/>
    <w:rsid w:val="00F03B24"/>
    <w:rsid w:val="00F1259D"/>
    <w:rsid w:val="00F1331E"/>
    <w:rsid w:val="00F36C89"/>
    <w:rsid w:val="00F53D5E"/>
    <w:rsid w:val="00F57324"/>
    <w:rsid w:val="00F72A40"/>
    <w:rsid w:val="00F8558A"/>
    <w:rsid w:val="00F94065"/>
    <w:rsid w:val="00F95CD4"/>
    <w:rsid w:val="00FA243D"/>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4EFB3-8F57-4C1C-9E03-968E641B5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Simon</cp:lastModifiedBy>
  <cp:revision>2</cp:revision>
  <dcterms:created xsi:type="dcterms:W3CDTF">2020-12-18T00:43:00Z</dcterms:created>
  <dcterms:modified xsi:type="dcterms:W3CDTF">2020-12-18T00:43:00Z</dcterms:modified>
</cp:coreProperties>
</file>