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EAC7F3" w14:textId="77777777" w:rsidR="00AF511D" w:rsidRDefault="00AF511D">
      <w:pPr>
        <w:rPr>
          <w:b/>
          <w:bCs/>
        </w:rPr>
      </w:pPr>
    </w:p>
    <w:p w14:paraId="2041B8B6" w14:textId="77777777" w:rsidR="00AF511D" w:rsidRDefault="00AF511D">
      <w:pPr>
        <w:rPr>
          <w:b/>
          <w:bCs/>
        </w:rPr>
      </w:pPr>
    </w:p>
    <w:p w14:paraId="07E287F7" w14:textId="77777777" w:rsidR="00AF511D" w:rsidRDefault="00AF511D">
      <w:pPr>
        <w:rPr>
          <w:b/>
          <w:bCs/>
        </w:rPr>
      </w:pPr>
    </w:p>
    <w:p w14:paraId="03261054" w14:textId="77777777" w:rsidR="00AF511D" w:rsidRDefault="00AF511D">
      <w:pPr>
        <w:rPr>
          <w:b/>
          <w:bCs/>
        </w:rPr>
      </w:pPr>
    </w:p>
    <w:p w14:paraId="37807039" w14:textId="77777777" w:rsidR="00AF511D" w:rsidRDefault="00AF511D">
      <w:pPr>
        <w:rPr>
          <w:b/>
          <w:bCs/>
        </w:rPr>
      </w:pPr>
    </w:p>
    <w:p w14:paraId="1549F068" w14:textId="77777777" w:rsidR="00AF511D" w:rsidRDefault="00AF511D">
      <w:pPr>
        <w:rPr>
          <w:b/>
          <w:bCs/>
        </w:rPr>
      </w:pPr>
    </w:p>
    <w:p w14:paraId="03C1528B" w14:textId="77777777" w:rsidR="00AF511D" w:rsidRDefault="00AF511D">
      <w:pPr>
        <w:rPr>
          <w:b/>
          <w:bCs/>
        </w:rPr>
      </w:pPr>
    </w:p>
    <w:p w14:paraId="01A6907F" w14:textId="186BA9CD" w:rsidR="00AF511D" w:rsidRDefault="00547506" w:rsidP="00AF511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Tuberculosis</w:t>
      </w:r>
    </w:p>
    <w:p w14:paraId="6E020564" w14:textId="77777777" w:rsidR="00AF511D" w:rsidRDefault="00547506" w:rsidP="00AF511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14:paraId="5E95C271" w14:textId="77777777" w:rsidR="00AF511D" w:rsidRDefault="00547506" w:rsidP="00AF511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14:paraId="32514AD5" w14:textId="77777777" w:rsidR="00AF511D" w:rsidRDefault="00547506" w:rsidP="00AF511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14:paraId="73B0A8CA" w14:textId="77777777" w:rsidR="00AF511D" w:rsidRDefault="00AF511D" w:rsidP="00AF511D">
      <w:pPr>
        <w:tabs>
          <w:tab w:val="left" w:pos="2119"/>
        </w:tabs>
        <w:jc w:val="center"/>
        <w:rPr>
          <w:b/>
        </w:rPr>
      </w:pPr>
    </w:p>
    <w:p w14:paraId="5B483E4C" w14:textId="77777777" w:rsidR="00AF511D" w:rsidRDefault="00AF511D" w:rsidP="00AF511D">
      <w:pPr>
        <w:rPr>
          <w:b/>
        </w:rPr>
      </w:pPr>
    </w:p>
    <w:p w14:paraId="481A0D85" w14:textId="77777777" w:rsidR="00AF511D" w:rsidRPr="00AF511D" w:rsidRDefault="00AF511D" w:rsidP="00AF511D">
      <w:pPr>
        <w:jc w:val="center"/>
      </w:pPr>
    </w:p>
    <w:p w14:paraId="600EBDD0" w14:textId="77777777" w:rsidR="00AF511D" w:rsidRDefault="00AF511D">
      <w:pPr>
        <w:rPr>
          <w:b/>
          <w:bCs/>
        </w:rPr>
      </w:pPr>
    </w:p>
    <w:p w14:paraId="54214982" w14:textId="77777777" w:rsidR="00AF511D" w:rsidRDefault="00AF511D">
      <w:pPr>
        <w:rPr>
          <w:b/>
          <w:bCs/>
        </w:rPr>
      </w:pPr>
    </w:p>
    <w:p w14:paraId="5E8700E7" w14:textId="77777777" w:rsidR="00AF511D" w:rsidRDefault="00AF511D">
      <w:pPr>
        <w:rPr>
          <w:b/>
          <w:bCs/>
        </w:rPr>
      </w:pPr>
    </w:p>
    <w:p w14:paraId="6A087F89" w14:textId="77777777" w:rsidR="00AF511D" w:rsidRDefault="00AF511D">
      <w:pPr>
        <w:rPr>
          <w:b/>
          <w:bCs/>
        </w:rPr>
      </w:pPr>
    </w:p>
    <w:p w14:paraId="33E511A7" w14:textId="77777777" w:rsidR="00AF511D" w:rsidRDefault="00AF511D">
      <w:pPr>
        <w:rPr>
          <w:b/>
          <w:bCs/>
        </w:rPr>
      </w:pPr>
    </w:p>
    <w:p w14:paraId="2164D318" w14:textId="00CF7B95" w:rsidR="00AF511D" w:rsidRDefault="00AF511D">
      <w:pPr>
        <w:rPr>
          <w:b/>
          <w:bCs/>
        </w:rPr>
      </w:pPr>
    </w:p>
    <w:p w14:paraId="32C4A659" w14:textId="3D2E718B" w:rsidR="00AF511D" w:rsidRDefault="00AF511D">
      <w:pPr>
        <w:rPr>
          <w:b/>
          <w:bCs/>
        </w:rPr>
      </w:pPr>
    </w:p>
    <w:p w14:paraId="39C6BE72" w14:textId="1884EE96" w:rsidR="00AF511D" w:rsidRDefault="00AF511D">
      <w:pPr>
        <w:rPr>
          <w:b/>
          <w:bCs/>
        </w:rPr>
      </w:pPr>
    </w:p>
    <w:p w14:paraId="3EC1BBCC" w14:textId="294E49A4" w:rsidR="00AF511D" w:rsidRDefault="00AF511D">
      <w:pPr>
        <w:rPr>
          <w:b/>
          <w:bCs/>
        </w:rPr>
      </w:pPr>
    </w:p>
    <w:p w14:paraId="3B6BEBD3" w14:textId="3642CFED" w:rsidR="00AF511D" w:rsidRDefault="00AF511D">
      <w:pPr>
        <w:rPr>
          <w:b/>
          <w:bCs/>
        </w:rPr>
      </w:pPr>
    </w:p>
    <w:p w14:paraId="3C2F7B82" w14:textId="04A1FDDA" w:rsidR="00AF511D" w:rsidRDefault="00AF511D">
      <w:pPr>
        <w:rPr>
          <w:b/>
          <w:bCs/>
        </w:rPr>
      </w:pPr>
    </w:p>
    <w:p w14:paraId="55943C95" w14:textId="32E4F64C" w:rsidR="00AF511D" w:rsidRDefault="00AF511D">
      <w:pPr>
        <w:rPr>
          <w:b/>
          <w:bCs/>
        </w:rPr>
      </w:pPr>
    </w:p>
    <w:p w14:paraId="14C9971B" w14:textId="14B6A3F4" w:rsidR="00AF511D" w:rsidRDefault="00AF511D">
      <w:pPr>
        <w:rPr>
          <w:b/>
          <w:bCs/>
        </w:rPr>
      </w:pPr>
    </w:p>
    <w:p w14:paraId="3DBC8382" w14:textId="040DF117" w:rsidR="00AF511D" w:rsidRDefault="00AF511D">
      <w:pPr>
        <w:rPr>
          <w:b/>
          <w:bCs/>
        </w:rPr>
      </w:pPr>
    </w:p>
    <w:p w14:paraId="25E6B12F" w14:textId="1E2829E6" w:rsidR="00AF511D" w:rsidRDefault="00AF511D">
      <w:pPr>
        <w:rPr>
          <w:b/>
          <w:bCs/>
        </w:rPr>
      </w:pPr>
    </w:p>
    <w:p w14:paraId="05DC1D85" w14:textId="061C5048" w:rsidR="00AF511D" w:rsidRPr="00AF511D" w:rsidRDefault="00547506" w:rsidP="00AF511D">
      <w:pPr>
        <w:spacing w:after="0" w:line="480" w:lineRule="auto"/>
        <w:ind w:firstLine="851"/>
        <w:jc w:val="center"/>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lastRenderedPageBreak/>
        <w:t>Tuberculosis</w:t>
      </w:r>
    </w:p>
    <w:p w14:paraId="4A19426B" w14:textId="75E305DD" w:rsidR="00CA3B0E" w:rsidRPr="00AF511D" w:rsidRDefault="00547506" w:rsidP="00AF511D">
      <w:pPr>
        <w:spacing w:after="0" w:line="480" w:lineRule="auto"/>
        <w:ind w:firstLine="851"/>
        <w:jc w:val="center"/>
        <w:rPr>
          <w:rFonts w:ascii="Times New Roman" w:hAnsi="Times New Roman" w:cs="Times New Roman"/>
          <w:b/>
          <w:bCs/>
          <w:color w:val="000000" w:themeColor="text1"/>
          <w:sz w:val="24"/>
          <w:szCs w:val="24"/>
        </w:rPr>
      </w:pPr>
      <w:r w:rsidRPr="00AF511D">
        <w:rPr>
          <w:rFonts w:ascii="Times New Roman" w:hAnsi="Times New Roman" w:cs="Times New Roman"/>
          <w:b/>
          <w:bCs/>
          <w:color w:val="000000" w:themeColor="text1"/>
          <w:sz w:val="24"/>
          <w:szCs w:val="24"/>
        </w:rPr>
        <w:t>Introduction</w:t>
      </w:r>
    </w:p>
    <w:p w14:paraId="50BEA85C" w14:textId="1E861649" w:rsidR="00365113" w:rsidRPr="00AF511D" w:rsidRDefault="00547506" w:rsidP="00AF511D">
      <w:pPr>
        <w:spacing w:after="0" w:line="480" w:lineRule="auto"/>
        <w:ind w:firstLine="851"/>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t>Tuberculosis (TB) is a severe infection of the lungs. The disease's causative bacteria spread from one person to another via droplets that are released into the atmosphere through sneezing or coughing. The causative agent of TB is Mycobacterium Tuberculosi</w:t>
      </w:r>
      <w:r w:rsidRPr="00AF511D">
        <w:rPr>
          <w:rFonts w:ascii="Times New Roman" w:hAnsi="Times New Roman" w:cs="Times New Roman"/>
          <w:color w:val="000000" w:themeColor="text1"/>
          <w:sz w:val="24"/>
          <w:szCs w:val="24"/>
        </w:rPr>
        <w:t xml:space="preserve">s. The agent is spread when an individual who has active TB sneezes or coughs, and another person inhales the droplets that contain the bacteria.  </w:t>
      </w:r>
      <w:r w:rsidR="009C5616" w:rsidRPr="00AF511D">
        <w:rPr>
          <w:rFonts w:ascii="Times New Roman" w:hAnsi="Times New Roman" w:cs="Times New Roman"/>
          <w:color w:val="000000" w:themeColor="text1"/>
          <w:sz w:val="24"/>
          <w:szCs w:val="24"/>
        </w:rPr>
        <w:t>TB started to emerge in 1985 following the increase in HIV infections, especially in developed countries. However, in 1993, the USA developed a strong control program, which led to a decrease in ailments. Statistics released by WHO (2020) shows that by 2018, 1.5 million people died due to TB infections. Among these people, 251,000 were HIV positive. TB is acknowledged to be among the top 10 causes of mortality worldwide. The statistics provide that in 2018, an estimate of 10 million individuals were affected by TB (1.1 million children, 3.2 million women, and 5.7 million men). In the</w:t>
      </w:r>
      <w:r w:rsidR="002D1979">
        <w:rPr>
          <w:rFonts w:ascii="Times New Roman" w:hAnsi="Times New Roman" w:cs="Times New Roman"/>
          <w:color w:val="000000" w:themeColor="text1"/>
          <w:sz w:val="24"/>
          <w:szCs w:val="24"/>
        </w:rPr>
        <w:t xml:space="preserve"> same</w:t>
      </w:r>
      <w:r w:rsidR="009C5616" w:rsidRPr="00AF511D">
        <w:rPr>
          <w:rFonts w:ascii="Times New Roman" w:hAnsi="Times New Roman" w:cs="Times New Roman"/>
          <w:color w:val="000000" w:themeColor="text1"/>
          <w:sz w:val="24"/>
          <w:szCs w:val="24"/>
        </w:rPr>
        <w:t xml:space="preserve"> year, 30 TB burden</w:t>
      </w:r>
      <w:r w:rsidR="008627E7">
        <w:rPr>
          <w:rFonts w:ascii="Times New Roman" w:hAnsi="Times New Roman" w:cs="Times New Roman"/>
          <w:color w:val="000000" w:themeColor="text1"/>
          <w:sz w:val="24"/>
          <w:szCs w:val="24"/>
        </w:rPr>
        <w:t>ed</w:t>
      </w:r>
      <w:r w:rsidR="009C5616" w:rsidRPr="00AF511D">
        <w:rPr>
          <w:rFonts w:ascii="Times New Roman" w:hAnsi="Times New Roman" w:cs="Times New Roman"/>
          <w:color w:val="000000" w:themeColor="text1"/>
          <w:sz w:val="24"/>
          <w:szCs w:val="24"/>
        </w:rPr>
        <w:t xml:space="preserve"> countries experienced 87</w:t>
      </w:r>
      <w:r w:rsidR="00AA53A9">
        <w:rPr>
          <w:rFonts w:ascii="Times New Roman" w:hAnsi="Times New Roman" w:cs="Times New Roman"/>
          <w:color w:val="000000" w:themeColor="text1"/>
          <w:sz w:val="24"/>
          <w:szCs w:val="24"/>
        </w:rPr>
        <w:t>%</w:t>
      </w:r>
      <w:r w:rsidR="009C5616" w:rsidRPr="00AF511D">
        <w:rPr>
          <w:rFonts w:ascii="Times New Roman" w:hAnsi="Times New Roman" w:cs="Times New Roman"/>
          <w:color w:val="000000" w:themeColor="text1"/>
          <w:sz w:val="24"/>
          <w:szCs w:val="24"/>
        </w:rPr>
        <w:t xml:space="preserve"> novel cases of infections. Eight states are the leading centers for the prevalence of TB, contributing to two-thirds of the infections. The countries include South Africa, Bangladesh, Nigeria, Pakistan, Philippines, Indonesia, and China. Worldwide, the incidence of TB is reducing by 2% every year. By 2018, the total cases reported in the USA </w:t>
      </w:r>
      <w:r w:rsidR="00CA3B0E" w:rsidRPr="00AF511D">
        <w:rPr>
          <w:rFonts w:ascii="Times New Roman" w:hAnsi="Times New Roman" w:cs="Times New Roman"/>
          <w:color w:val="000000" w:themeColor="text1"/>
          <w:sz w:val="24"/>
          <w:szCs w:val="24"/>
        </w:rPr>
        <w:t>were 9,025, which is a decrease of 0.7% compared to the reported cases in 2017</w:t>
      </w:r>
      <w:r w:rsidR="00E2415B" w:rsidRPr="00AF511D">
        <w:rPr>
          <w:rFonts w:ascii="Times New Roman" w:hAnsi="Times New Roman" w:cs="Times New Roman"/>
          <w:color w:val="000000" w:themeColor="text1"/>
          <w:sz w:val="24"/>
          <w:szCs w:val="24"/>
        </w:rPr>
        <w:t xml:space="preserve"> (Stewart et al., 2018)</w:t>
      </w:r>
      <w:r w:rsidR="00CA3B0E" w:rsidRPr="00AF511D">
        <w:rPr>
          <w:rFonts w:ascii="Times New Roman" w:hAnsi="Times New Roman" w:cs="Times New Roman"/>
          <w:color w:val="000000" w:themeColor="text1"/>
          <w:sz w:val="24"/>
          <w:szCs w:val="24"/>
        </w:rPr>
        <w:t xml:space="preserve">. The USA incidence rate by 2018 was 2.8 infections per 100,000 individuals. In 2017, the mortality rate of TB infections was 515, which is lower than in 2016, which was 528. Therefore, TB is a </w:t>
      </w:r>
      <w:r w:rsidR="00FB4FEF">
        <w:rPr>
          <w:rFonts w:ascii="Times New Roman" w:hAnsi="Times New Roman" w:cs="Times New Roman"/>
          <w:color w:val="000000" w:themeColor="text1"/>
          <w:sz w:val="24"/>
          <w:szCs w:val="24"/>
        </w:rPr>
        <w:t>disease</w:t>
      </w:r>
      <w:r w:rsidR="00CA3B0E" w:rsidRPr="00AF511D">
        <w:rPr>
          <w:rFonts w:ascii="Times New Roman" w:hAnsi="Times New Roman" w:cs="Times New Roman"/>
          <w:color w:val="000000" w:themeColor="text1"/>
          <w:sz w:val="24"/>
          <w:szCs w:val="24"/>
        </w:rPr>
        <w:t xml:space="preserve"> that is a burden to the USA; however, infections are </w:t>
      </w:r>
      <w:r w:rsidR="00D431ED">
        <w:rPr>
          <w:rFonts w:ascii="Times New Roman" w:hAnsi="Times New Roman" w:cs="Times New Roman"/>
          <w:color w:val="000000" w:themeColor="text1"/>
          <w:sz w:val="24"/>
          <w:szCs w:val="24"/>
        </w:rPr>
        <w:t>decreasing</w:t>
      </w:r>
      <w:r w:rsidR="00CA3B0E" w:rsidRPr="00AF511D">
        <w:rPr>
          <w:rFonts w:ascii="Times New Roman" w:hAnsi="Times New Roman" w:cs="Times New Roman"/>
          <w:color w:val="000000" w:themeColor="text1"/>
          <w:sz w:val="24"/>
          <w:szCs w:val="24"/>
        </w:rPr>
        <w:t>.</w:t>
      </w:r>
    </w:p>
    <w:p w14:paraId="6F724199" w14:textId="0C95D4DE" w:rsidR="00CA3B0E" w:rsidRPr="00AF511D" w:rsidRDefault="00547506" w:rsidP="00AF511D">
      <w:pPr>
        <w:spacing w:after="0" w:line="480" w:lineRule="auto"/>
        <w:ind w:firstLine="851"/>
        <w:jc w:val="center"/>
        <w:rPr>
          <w:rFonts w:ascii="Times New Roman" w:hAnsi="Times New Roman" w:cs="Times New Roman"/>
          <w:b/>
          <w:bCs/>
          <w:color w:val="000000" w:themeColor="text1"/>
          <w:sz w:val="24"/>
          <w:szCs w:val="24"/>
        </w:rPr>
      </w:pPr>
      <w:r w:rsidRPr="00AF511D">
        <w:rPr>
          <w:rFonts w:ascii="Times New Roman" w:hAnsi="Times New Roman" w:cs="Times New Roman"/>
          <w:b/>
          <w:bCs/>
          <w:color w:val="000000" w:themeColor="text1"/>
          <w:sz w:val="24"/>
          <w:szCs w:val="24"/>
        </w:rPr>
        <w:t>Contributing Factors of TB</w:t>
      </w:r>
    </w:p>
    <w:p w14:paraId="5DB43356" w14:textId="5868D577" w:rsidR="00CA3B0E" w:rsidRPr="00AF511D" w:rsidRDefault="00547506" w:rsidP="00AF511D">
      <w:pPr>
        <w:spacing w:after="0" w:line="480" w:lineRule="auto"/>
        <w:ind w:firstLine="851"/>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t xml:space="preserve">The development of TB is a two-phase process following the spread of the disease. </w:t>
      </w:r>
      <w:r w:rsidR="004A120B">
        <w:rPr>
          <w:rFonts w:ascii="Times New Roman" w:hAnsi="Times New Roman" w:cs="Times New Roman"/>
          <w:color w:val="000000" w:themeColor="text1"/>
          <w:sz w:val="24"/>
          <w:szCs w:val="24"/>
        </w:rPr>
        <w:t>In a</w:t>
      </w:r>
      <w:r w:rsidRPr="00AF511D">
        <w:rPr>
          <w:rFonts w:ascii="Times New Roman" w:hAnsi="Times New Roman" w:cs="Times New Roman"/>
          <w:color w:val="000000" w:themeColor="text1"/>
          <w:sz w:val="24"/>
          <w:szCs w:val="24"/>
        </w:rPr>
        <w:t>n individual</w:t>
      </w:r>
      <w:r w:rsidRPr="00AF511D">
        <w:rPr>
          <w:rFonts w:ascii="Times New Roman" w:hAnsi="Times New Roman" w:cs="Times New Roman"/>
          <w:color w:val="000000" w:themeColor="text1"/>
          <w:sz w:val="24"/>
          <w:szCs w:val="24"/>
        </w:rPr>
        <w:t xml:space="preserve"> affected </w:t>
      </w:r>
      <w:r w:rsidR="00B4282D" w:rsidRPr="00AF511D">
        <w:rPr>
          <w:rFonts w:ascii="Times New Roman" w:hAnsi="Times New Roman" w:cs="Times New Roman"/>
          <w:color w:val="000000" w:themeColor="text1"/>
          <w:sz w:val="24"/>
          <w:szCs w:val="24"/>
        </w:rPr>
        <w:t xml:space="preserve">by the disease, the infection is harbored in the immune system. </w:t>
      </w:r>
      <w:r w:rsidR="00B4282D" w:rsidRPr="00AF511D">
        <w:rPr>
          <w:rFonts w:ascii="Times New Roman" w:hAnsi="Times New Roman" w:cs="Times New Roman"/>
          <w:color w:val="000000" w:themeColor="text1"/>
          <w:sz w:val="24"/>
          <w:szCs w:val="24"/>
        </w:rPr>
        <w:lastRenderedPageBreak/>
        <w:t>About 5% of the individuals involved, the disease's progression will happen in the first two years after they are infected</w:t>
      </w:r>
      <w:r w:rsidR="00E2415B" w:rsidRPr="00AF511D">
        <w:rPr>
          <w:rFonts w:ascii="Times New Roman" w:hAnsi="Times New Roman" w:cs="Times New Roman"/>
          <w:color w:val="000000" w:themeColor="text1"/>
          <w:sz w:val="24"/>
          <w:szCs w:val="24"/>
        </w:rPr>
        <w:t xml:space="preserve"> (Narasimhan et al., 2013)</w:t>
      </w:r>
      <w:r w:rsidR="00B4282D" w:rsidRPr="00AF511D">
        <w:rPr>
          <w:rFonts w:ascii="Times New Roman" w:hAnsi="Times New Roman" w:cs="Times New Roman"/>
          <w:color w:val="000000" w:themeColor="text1"/>
          <w:sz w:val="24"/>
          <w:szCs w:val="24"/>
        </w:rPr>
        <w:t xml:space="preserve">. The risk for the disease and progression to infection are two aspects that need to be understood well to enhance the control mechanisms for the infections. The risk of contracting the disease is primarily determined by the intrinsic factors and governed by external factors. The inherent characteristics involve a combination of elements such as social behavior, proximity to the contact, and infectiousness of the source. The behavior risk for the disease includes </w:t>
      </w:r>
      <w:r w:rsidR="00E2415B" w:rsidRPr="00AF511D">
        <w:rPr>
          <w:rFonts w:ascii="Times New Roman" w:hAnsi="Times New Roman" w:cs="Times New Roman"/>
          <w:color w:val="000000" w:themeColor="text1"/>
          <w:sz w:val="24"/>
          <w:szCs w:val="24"/>
        </w:rPr>
        <w:t xml:space="preserve">air pollution, alcoholism, and smoking. In cases where people are overcrowded, the transmission rate is increased. Conditions that affect the immune system, such as HIV infection, increase the </w:t>
      </w:r>
      <w:r w:rsidR="001425F3">
        <w:rPr>
          <w:rFonts w:ascii="Times New Roman" w:hAnsi="Times New Roman" w:cs="Times New Roman"/>
          <w:color w:val="000000" w:themeColor="text1"/>
          <w:sz w:val="24"/>
          <w:szCs w:val="24"/>
        </w:rPr>
        <w:t>infection rate</w:t>
      </w:r>
      <w:r w:rsidR="00E2415B" w:rsidRPr="00AF511D">
        <w:rPr>
          <w:rFonts w:ascii="Times New Roman" w:hAnsi="Times New Roman" w:cs="Times New Roman"/>
          <w:color w:val="000000" w:themeColor="text1"/>
          <w:sz w:val="24"/>
          <w:szCs w:val="24"/>
        </w:rPr>
        <w:t>, and progression of</w:t>
      </w:r>
      <w:r w:rsidR="001425F3">
        <w:rPr>
          <w:rFonts w:ascii="Times New Roman" w:hAnsi="Times New Roman" w:cs="Times New Roman"/>
          <w:color w:val="000000" w:themeColor="text1"/>
          <w:sz w:val="24"/>
          <w:szCs w:val="24"/>
        </w:rPr>
        <w:t xml:space="preserve"> the disease</w:t>
      </w:r>
      <w:r w:rsidR="00E2415B" w:rsidRPr="00AF511D">
        <w:rPr>
          <w:rFonts w:ascii="Times New Roman" w:hAnsi="Times New Roman" w:cs="Times New Roman"/>
          <w:color w:val="000000" w:themeColor="text1"/>
          <w:sz w:val="24"/>
          <w:szCs w:val="24"/>
        </w:rPr>
        <w:t xml:space="preserve"> (Narasimhan et al., 2013). Other factors that increase the risk of infection include malnutrition and diabetes.</w:t>
      </w:r>
    </w:p>
    <w:p w14:paraId="654A5B14" w14:textId="19713ECE" w:rsidR="00E2415B" w:rsidRPr="00AF511D" w:rsidRDefault="00547506" w:rsidP="00AF511D">
      <w:pPr>
        <w:spacing w:after="0" w:line="480" w:lineRule="auto"/>
        <w:ind w:firstLine="851"/>
        <w:jc w:val="center"/>
        <w:rPr>
          <w:rFonts w:ascii="Times New Roman" w:hAnsi="Times New Roman" w:cs="Times New Roman"/>
          <w:b/>
          <w:bCs/>
          <w:color w:val="000000" w:themeColor="text1"/>
          <w:sz w:val="24"/>
          <w:szCs w:val="24"/>
        </w:rPr>
      </w:pPr>
      <w:r w:rsidRPr="00AF511D">
        <w:rPr>
          <w:rFonts w:ascii="Times New Roman" w:hAnsi="Times New Roman" w:cs="Times New Roman"/>
          <w:b/>
          <w:bCs/>
          <w:color w:val="000000" w:themeColor="text1"/>
          <w:sz w:val="24"/>
          <w:szCs w:val="24"/>
        </w:rPr>
        <w:t>Signs and Symptoms</w:t>
      </w:r>
    </w:p>
    <w:p w14:paraId="288317A4" w14:textId="7508CB53" w:rsidR="00E2415B" w:rsidRPr="00AF511D" w:rsidRDefault="00547506" w:rsidP="00AF511D">
      <w:pPr>
        <w:spacing w:after="0" w:line="480" w:lineRule="auto"/>
        <w:ind w:firstLine="851"/>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t>The development of clinical manifestations in TB is dependent on the phases of infections. Some distinctions are made to determine t</w:t>
      </w:r>
      <w:r w:rsidRPr="00AF511D">
        <w:rPr>
          <w:rFonts w:ascii="Times New Roman" w:hAnsi="Times New Roman" w:cs="Times New Roman"/>
          <w:color w:val="000000" w:themeColor="text1"/>
          <w:sz w:val="24"/>
          <w:szCs w:val="24"/>
        </w:rPr>
        <w:t xml:space="preserve">he management of the disease. The latent phase is one of the stages of infection; the bacteria are inactive in an infected individual's body. In this phase, no symptoms are revealed. In the latent phase, the disease is not infectious. In the active phase, </w:t>
      </w:r>
      <w:r w:rsidRPr="00AF511D">
        <w:rPr>
          <w:rFonts w:ascii="Times New Roman" w:hAnsi="Times New Roman" w:cs="Times New Roman"/>
          <w:color w:val="000000" w:themeColor="text1"/>
          <w:sz w:val="24"/>
          <w:szCs w:val="24"/>
        </w:rPr>
        <w:t>the infection makes an individual sickly. The stage is contagious and is linked to various clinical features. The clinical manifestations include coughing for more than three weeks, coughing blood, loss of appetite, chills, sweating at night, fever, fatigu</w:t>
      </w:r>
      <w:r w:rsidRPr="00AF511D">
        <w:rPr>
          <w:rFonts w:ascii="Times New Roman" w:hAnsi="Times New Roman" w:cs="Times New Roman"/>
          <w:color w:val="000000" w:themeColor="text1"/>
          <w:sz w:val="24"/>
          <w:szCs w:val="24"/>
        </w:rPr>
        <w:t>e, weight loss, chest pain, and dyspnea</w:t>
      </w:r>
      <w:r w:rsidR="00380949" w:rsidRPr="00AF511D">
        <w:rPr>
          <w:rFonts w:ascii="Times New Roman" w:hAnsi="Times New Roman" w:cs="Times New Roman"/>
          <w:color w:val="000000" w:themeColor="text1"/>
          <w:sz w:val="24"/>
          <w:szCs w:val="24"/>
        </w:rPr>
        <w:t xml:space="preserve"> (Zaman, 2010)</w:t>
      </w:r>
      <w:r w:rsidRPr="00AF511D">
        <w:rPr>
          <w:rFonts w:ascii="Times New Roman" w:hAnsi="Times New Roman" w:cs="Times New Roman"/>
          <w:color w:val="000000" w:themeColor="text1"/>
          <w:sz w:val="24"/>
          <w:szCs w:val="24"/>
        </w:rPr>
        <w:t xml:space="preserve">. TB can also </w:t>
      </w:r>
      <w:r w:rsidR="00380949" w:rsidRPr="00AF511D">
        <w:rPr>
          <w:rFonts w:ascii="Times New Roman" w:hAnsi="Times New Roman" w:cs="Times New Roman"/>
          <w:color w:val="000000" w:themeColor="text1"/>
          <w:sz w:val="24"/>
          <w:szCs w:val="24"/>
        </w:rPr>
        <w:t>affect other organs in the body, which is known as systemic infection. When the disease affects other parts such as the brain, kidneys, or spine, the signs and symptoms presented will be linked to the affected system. For example, the infection of the kidney is associated with hematuria.</w:t>
      </w:r>
    </w:p>
    <w:p w14:paraId="359FAEA9" w14:textId="77777777" w:rsidR="00AF511D" w:rsidRDefault="00AF511D" w:rsidP="00AF511D">
      <w:pPr>
        <w:spacing w:after="0" w:line="480" w:lineRule="auto"/>
        <w:ind w:firstLine="851"/>
        <w:rPr>
          <w:rFonts w:ascii="Times New Roman" w:hAnsi="Times New Roman" w:cs="Times New Roman"/>
          <w:b/>
          <w:bCs/>
          <w:color w:val="000000" w:themeColor="text1"/>
          <w:sz w:val="24"/>
          <w:szCs w:val="24"/>
        </w:rPr>
      </w:pPr>
    </w:p>
    <w:p w14:paraId="6D6D2CF4" w14:textId="215E318D" w:rsidR="00380949" w:rsidRPr="00AF511D" w:rsidRDefault="00547506" w:rsidP="00AF511D">
      <w:pPr>
        <w:spacing w:after="0" w:line="480" w:lineRule="auto"/>
        <w:ind w:firstLine="851"/>
        <w:jc w:val="center"/>
        <w:rPr>
          <w:rFonts w:ascii="Times New Roman" w:hAnsi="Times New Roman" w:cs="Times New Roman"/>
          <w:b/>
          <w:bCs/>
          <w:color w:val="000000" w:themeColor="text1"/>
          <w:sz w:val="24"/>
          <w:szCs w:val="24"/>
        </w:rPr>
      </w:pPr>
      <w:r w:rsidRPr="00AF511D">
        <w:rPr>
          <w:rFonts w:ascii="Times New Roman" w:hAnsi="Times New Roman" w:cs="Times New Roman"/>
          <w:b/>
          <w:bCs/>
          <w:color w:val="000000" w:themeColor="text1"/>
          <w:sz w:val="24"/>
          <w:szCs w:val="24"/>
        </w:rPr>
        <w:lastRenderedPageBreak/>
        <w:t>Diagnosis of TB</w:t>
      </w:r>
    </w:p>
    <w:p w14:paraId="75C77C44" w14:textId="514540D1" w:rsidR="00380949" w:rsidRPr="00AF511D" w:rsidRDefault="00547506" w:rsidP="00AF511D">
      <w:pPr>
        <w:spacing w:after="0" w:line="480" w:lineRule="auto"/>
        <w:ind w:firstLine="851"/>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t xml:space="preserve">Various tests are done to ensure that the patients' clinical manifestations are proved to be caused by TB. One of the tests </w:t>
      </w:r>
      <w:r w:rsidRPr="00AF511D">
        <w:rPr>
          <w:rFonts w:ascii="Times New Roman" w:hAnsi="Times New Roman" w:cs="Times New Roman"/>
          <w:color w:val="000000" w:themeColor="text1"/>
          <w:sz w:val="24"/>
          <w:szCs w:val="24"/>
        </w:rPr>
        <w:t>involved in the diagnosis process is the blood test. The blood test is used to confirm the presence of active or latent TB. The blood test is significant in determining the reaction of the immune system to the infection. The test is also significant in the</w:t>
      </w:r>
      <w:r w:rsidRPr="00AF511D">
        <w:rPr>
          <w:rFonts w:ascii="Times New Roman" w:hAnsi="Times New Roman" w:cs="Times New Roman"/>
          <w:color w:val="000000" w:themeColor="text1"/>
          <w:sz w:val="24"/>
          <w:szCs w:val="24"/>
        </w:rPr>
        <w:t xml:space="preserve"> case where a patient is at high risk of disease but responds negatively to the skin test or for those who have received a BCG vaccine</w:t>
      </w:r>
      <w:r w:rsidR="003C0A97" w:rsidRPr="00AF511D">
        <w:rPr>
          <w:rFonts w:ascii="Times New Roman" w:hAnsi="Times New Roman" w:cs="Times New Roman"/>
          <w:color w:val="000000" w:themeColor="text1"/>
          <w:sz w:val="24"/>
          <w:szCs w:val="24"/>
        </w:rPr>
        <w:t xml:space="preserve"> (Zaman, 2010)</w:t>
      </w:r>
      <w:r w:rsidRPr="00AF511D">
        <w:rPr>
          <w:rFonts w:ascii="Times New Roman" w:hAnsi="Times New Roman" w:cs="Times New Roman"/>
          <w:color w:val="000000" w:themeColor="text1"/>
          <w:sz w:val="24"/>
          <w:szCs w:val="24"/>
        </w:rPr>
        <w:t>. Imaging tests are also done to those individuals who had been revealed to be positive through the skin tes</w:t>
      </w:r>
      <w:r w:rsidRPr="00AF511D">
        <w:rPr>
          <w:rFonts w:ascii="Times New Roman" w:hAnsi="Times New Roman" w:cs="Times New Roman"/>
          <w:color w:val="000000" w:themeColor="text1"/>
          <w:sz w:val="24"/>
          <w:szCs w:val="24"/>
        </w:rPr>
        <w:t xml:space="preserve">t. The imaging tests that are done include Computed Tomography (CT) scan or X-rays. The imaging tests may indicate the presence of white spots on the lungs when the bacteria's immune system walls. </w:t>
      </w:r>
      <w:r w:rsidR="000B0BD3" w:rsidRPr="00AF511D">
        <w:rPr>
          <w:rFonts w:ascii="Times New Roman" w:hAnsi="Times New Roman" w:cs="Times New Roman"/>
          <w:color w:val="000000" w:themeColor="text1"/>
          <w:sz w:val="24"/>
          <w:szCs w:val="24"/>
        </w:rPr>
        <w:t xml:space="preserve">However, a CT scan is more detailed than X-rays. </w:t>
      </w:r>
      <w:r w:rsidR="003C0A97" w:rsidRPr="00AF511D">
        <w:rPr>
          <w:rFonts w:ascii="Times New Roman" w:hAnsi="Times New Roman" w:cs="Times New Roman"/>
          <w:color w:val="000000" w:themeColor="text1"/>
          <w:sz w:val="24"/>
          <w:szCs w:val="24"/>
        </w:rPr>
        <w:t>The sputum test is another significant test that is used to confirm infection. When the chest X-ray reveals signs of TB, sputum samples are examined for Mycobacterium Tuberculosis. The sputum test is also done to examine drug resistance to ensure that effective medications are chosen for treatment.</w:t>
      </w:r>
    </w:p>
    <w:p w14:paraId="21B5A80D" w14:textId="687DD875" w:rsidR="003C0A97" w:rsidRPr="00AF511D" w:rsidRDefault="00547506" w:rsidP="00AF511D">
      <w:pPr>
        <w:spacing w:after="0" w:line="480" w:lineRule="auto"/>
        <w:ind w:firstLine="851"/>
        <w:jc w:val="center"/>
        <w:rPr>
          <w:rFonts w:ascii="Times New Roman" w:hAnsi="Times New Roman" w:cs="Times New Roman"/>
          <w:b/>
          <w:bCs/>
          <w:color w:val="000000" w:themeColor="text1"/>
          <w:sz w:val="24"/>
          <w:szCs w:val="24"/>
        </w:rPr>
      </w:pPr>
      <w:r w:rsidRPr="00AF511D">
        <w:rPr>
          <w:rFonts w:ascii="Times New Roman" w:hAnsi="Times New Roman" w:cs="Times New Roman"/>
          <w:b/>
          <w:bCs/>
          <w:color w:val="000000" w:themeColor="text1"/>
          <w:sz w:val="24"/>
          <w:szCs w:val="24"/>
        </w:rPr>
        <w:t>Medical Management and Follow-up Care</w:t>
      </w:r>
    </w:p>
    <w:p w14:paraId="2F2F8201" w14:textId="16540DB5" w:rsidR="003C0A97" w:rsidRPr="00AF511D" w:rsidRDefault="00547506" w:rsidP="00AF511D">
      <w:pPr>
        <w:spacing w:after="0" w:line="480" w:lineRule="auto"/>
        <w:ind w:firstLine="851"/>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t>Medications are the basis for the treatment of TB; however, they take longer. For patients with active TB, they have to take antibiotics for six months. The use of drugs depends on the</w:t>
      </w:r>
      <w:r w:rsidRPr="00AF511D">
        <w:rPr>
          <w:rFonts w:ascii="Times New Roman" w:hAnsi="Times New Roman" w:cs="Times New Roman"/>
          <w:color w:val="000000" w:themeColor="text1"/>
          <w:sz w:val="24"/>
          <w:szCs w:val="24"/>
        </w:rPr>
        <w:t xml:space="preserve"> infection's location, drug resistance, the overall health of an individual, and age. The treatment of TB is initiated using four medications. The regimen for treatment includes pyrazinamide, rifampin, isoniazid, or streptomycin or ethambutol. Once the inf</w:t>
      </w:r>
      <w:r w:rsidRPr="00AF511D">
        <w:rPr>
          <w:rFonts w:ascii="Times New Roman" w:hAnsi="Times New Roman" w:cs="Times New Roman"/>
          <w:color w:val="000000" w:themeColor="text1"/>
          <w:sz w:val="24"/>
          <w:szCs w:val="24"/>
        </w:rPr>
        <w:t xml:space="preserve">ection subsides, the use of the fourth medication (ethambutol or streptomycin is discontinued. For </w:t>
      </w:r>
      <w:r w:rsidR="00B20551" w:rsidRPr="00AF511D">
        <w:rPr>
          <w:rFonts w:ascii="Times New Roman" w:hAnsi="Times New Roman" w:cs="Times New Roman"/>
          <w:color w:val="000000" w:themeColor="text1"/>
          <w:sz w:val="24"/>
          <w:szCs w:val="24"/>
        </w:rPr>
        <w:t>drug-resistant individuals, fluoroquinolones, and other injectables such as capreomycin or amikacin are used for at least 20 months (</w:t>
      </w:r>
      <w:proofErr w:type="spellStart"/>
      <w:r w:rsidR="00B20551" w:rsidRPr="00AF511D">
        <w:rPr>
          <w:rFonts w:ascii="Times New Roman" w:hAnsi="Times New Roman" w:cs="Times New Roman"/>
          <w:color w:val="000000" w:themeColor="text1"/>
          <w:sz w:val="24"/>
          <w:szCs w:val="24"/>
        </w:rPr>
        <w:t>Nathavitharana</w:t>
      </w:r>
      <w:proofErr w:type="spellEnd"/>
      <w:r w:rsidR="00B20551" w:rsidRPr="00AF511D">
        <w:rPr>
          <w:rFonts w:ascii="Times New Roman" w:hAnsi="Times New Roman" w:cs="Times New Roman"/>
          <w:color w:val="000000" w:themeColor="text1"/>
          <w:sz w:val="24"/>
          <w:szCs w:val="24"/>
        </w:rPr>
        <w:t xml:space="preserve"> et al., 2019). Also, medications such as linezolid and bedaquiline are added to the drug resistance combination therapy. For TB patients, follow up care is significant to ensure that they adhere to treatment. Lack of </w:t>
      </w:r>
      <w:r w:rsidR="00B20551" w:rsidRPr="00AF511D">
        <w:rPr>
          <w:rFonts w:ascii="Times New Roman" w:hAnsi="Times New Roman" w:cs="Times New Roman"/>
          <w:color w:val="000000" w:themeColor="text1"/>
          <w:sz w:val="24"/>
          <w:szCs w:val="24"/>
        </w:rPr>
        <w:lastRenderedPageBreak/>
        <w:t>adherence to medications can lead to drug resistance or reinfection. Patients should be followed up by tracing them to ensure that they adhere to treatment. Also, patients should be given appointments for assessment and be offered the chance to call the health care team in case of complications.</w:t>
      </w:r>
    </w:p>
    <w:p w14:paraId="5AB785D0" w14:textId="49FC6B53" w:rsidR="00B20551" w:rsidRPr="00AF511D" w:rsidRDefault="00547506" w:rsidP="00AF511D">
      <w:pPr>
        <w:spacing w:after="0" w:line="480" w:lineRule="auto"/>
        <w:ind w:firstLine="851"/>
        <w:jc w:val="center"/>
        <w:rPr>
          <w:rFonts w:ascii="Times New Roman" w:hAnsi="Times New Roman" w:cs="Times New Roman"/>
          <w:b/>
          <w:bCs/>
          <w:color w:val="000000" w:themeColor="text1"/>
          <w:sz w:val="24"/>
          <w:szCs w:val="24"/>
        </w:rPr>
      </w:pPr>
      <w:r w:rsidRPr="00AF511D">
        <w:rPr>
          <w:rFonts w:ascii="Times New Roman" w:hAnsi="Times New Roman" w:cs="Times New Roman"/>
          <w:b/>
          <w:bCs/>
          <w:color w:val="000000" w:themeColor="text1"/>
          <w:sz w:val="24"/>
          <w:szCs w:val="24"/>
        </w:rPr>
        <w:t>Prevent</w:t>
      </w:r>
      <w:r w:rsidRPr="00AF511D">
        <w:rPr>
          <w:rFonts w:ascii="Times New Roman" w:hAnsi="Times New Roman" w:cs="Times New Roman"/>
          <w:b/>
          <w:bCs/>
          <w:color w:val="000000" w:themeColor="text1"/>
          <w:sz w:val="24"/>
          <w:szCs w:val="24"/>
        </w:rPr>
        <w:t>ion</w:t>
      </w:r>
    </w:p>
    <w:p w14:paraId="2F6C36FF" w14:textId="7CE2DB0C" w:rsidR="00C71A94" w:rsidRPr="00AF511D" w:rsidRDefault="00547506" w:rsidP="00AF511D">
      <w:pPr>
        <w:spacing w:after="0" w:line="480" w:lineRule="auto"/>
        <w:ind w:firstLine="851"/>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t xml:space="preserve">Various preventive measures can be enhanced to fight the TB infection burden. One of the significant steps is to ensure that the protection of friends and family is enhanced. Prevention of infection to other people is the responsibility of every </w:t>
      </w:r>
      <w:r w:rsidRPr="00AF511D">
        <w:rPr>
          <w:rFonts w:ascii="Times New Roman" w:hAnsi="Times New Roman" w:cs="Times New Roman"/>
          <w:color w:val="000000" w:themeColor="text1"/>
          <w:sz w:val="24"/>
          <w:szCs w:val="24"/>
        </w:rPr>
        <w:t>infected person. When one has an active TB, they should wear a mask, cover the mouth, stay in a ventilated room, and isolate themselves. Another significant measure is to ensure that all infected patients adhere and finish their treatment. Vaccinations are</w:t>
      </w:r>
      <w:r w:rsidRPr="00AF511D">
        <w:rPr>
          <w:rFonts w:ascii="Times New Roman" w:hAnsi="Times New Roman" w:cs="Times New Roman"/>
          <w:color w:val="000000" w:themeColor="text1"/>
          <w:sz w:val="24"/>
          <w:szCs w:val="24"/>
        </w:rPr>
        <w:t xml:space="preserve"> also substantial, especially in countries that are more affected by the disease. BCG vaccine is significant in the prevention of the disease (</w:t>
      </w:r>
      <w:proofErr w:type="spellStart"/>
      <w:r w:rsidRPr="00AF511D">
        <w:rPr>
          <w:rFonts w:ascii="Times New Roman" w:hAnsi="Times New Roman" w:cs="Times New Roman"/>
          <w:color w:val="000000" w:themeColor="text1"/>
          <w:sz w:val="24"/>
          <w:szCs w:val="24"/>
        </w:rPr>
        <w:t>Nathavitharana</w:t>
      </w:r>
      <w:proofErr w:type="spellEnd"/>
      <w:r w:rsidRPr="00AF511D">
        <w:rPr>
          <w:rFonts w:ascii="Times New Roman" w:hAnsi="Times New Roman" w:cs="Times New Roman"/>
          <w:color w:val="000000" w:themeColor="text1"/>
          <w:sz w:val="24"/>
          <w:szCs w:val="24"/>
        </w:rPr>
        <w:t xml:space="preserve"> et al., 2019). The vaccine is given to infants and children, and it is not useful for adults. Howe</w:t>
      </w:r>
      <w:r w:rsidRPr="00AF511D">
        <w:rPr>
          <w:rFonts w:ascii="Times New Roman" w:hAnsi="Times New Roman" w:cs="Times New Roman"/>
          <w:color w:val="000000" w:themeColor="text1"/>
          <w:sz w:val="24"/>
          <w:szCs w:val="24"/>
        </w:rPr>
        <w:t>ver, research reveals that many other vaccines are in the development stage and are being tested for their consumption.</w:t>
      </w:r>
    </w:p>
    <w:p w14:paraId="4FB47D1E" w14:textId="73AE3880" w:rsidR="00B20551" w:rsidRPr="00AF511D" w:rsidRDefault="00547506" w:rsidP="00AF511D">
      <w:pPr>
        <w:spacing w:after="0" w:line="480" w:lineRule="auto"/>
        <w:ind w:firstLine="851"/>
        <w:jc w:val="center"/>
        <w:rPr>
          <w:rFonts w:ascii="Times New Roman" w:hAnsi="Times New Roman" w:cs="Times New Roman"/>
          <w:b/>
          <w:bCs/>
          <w:color w:val="000000" w:themeColor="text1"/>
          <w:sz w:val="24"/>
          <w:szCs w:val="24"/>
        </w:rPr>
      </w:pPr>
      <w:r w:rsidRPr="00AF511D">
        <w:rPr>
          <w:rFonts w:ascii="Times New Roman" w:hAnsi="Times New Roman" w:cs="Times New Roman"/>
          <w:b/>
          <w:bCs/>
          <w:color w:val="000000" w:themeColor="text1"/>
          <w:sz w:val="24"/>
          <w:szCs w:val="24"/>
        </w:rPr>
        <w:t>Conclusion</w:t>
      </w:r>
    </w:p>
    <w:p w14:paraId="123E0220" w14:textId="5D0DA519" w:rsidR="00C71A94" w:rsidRPr="00AF511D" w:rsidRDefault="00547506" w:rsidP="00AF511D">
      <w:pPr>
        <w:spacing w:after="0" w:line="480" w:lineRule="auto"/>
        <w:ind w:firstLine="851"/>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t>TB is a disease that has been suggested to be a global burden. Despite the reduction of the infection cases, the condition is</w:t>
      </w:r>
      <w:r w:rsidRPr="00AF511D">
        <w:rPr>
          <w:rFonts w:ascii="Times New Roman" w:hAnsi="Times New Roman" w:cs="Times New Roman"/>
          <w:color w:val="000000" w:themeColor="text1"/>
          <w:sz w:val="24"/>
          <w:szCs w:val="24"/>
        </w:rPr>
        <w:t xml:space="preserve"> still prevalent worldwide, and there is a need for prevention. In the USA, it is evident that the disease affects an estimate of 9,000 people annually (Stewart et al., 2018). Therefore, it is a disease that is significant to the public health department. </w:t>
      </w:r>
      <w:r w:rsidR="00AF511D" w:rsidRPr="00AF511D">
        <w:rPr>
          <w:rFonts w:ascii="Times New Roman" w:hAnsi="Times New Roman" w:cs="Times New Roman"/>
          <w:color w:val="000000" w:themeColor="text1"/>
          <w:sz w:val="24"/>
          <w:szCs w:val="24"/>
        </w:rPr>
        <w:t>Notably, the</w:t>
      </w:r>
      <w:r w:rsidRPr="00AF511D">
        <w:rPr>
          <w:rFonts w:ascii="Times New Roman" w:hAnsi="Times New Roman" w:cs="Times New Roman"/>
          <w:color w:val="000000" w:themeColor="text1"/>
          <w:sz w:val="24"/>
          <w:szCs w:val="24"/>
        </w:rPr>
        <w:t xml:space="preserve"> increased cases of drug resistance of the illness are an alarming factor that needs to be addressed </w:t>
      </w:r>
      <w:r w:rsidR="00AF511D" w:rsidRPr="00AF511D">
        <w:rPr>
          <w:rFonts w:ascii="Times New Roman" w:hAnsi="Times New Roman" w:cs="Times New Roman"/>
          <w:color w:val="000000" w:themeColor="text1"/>
          <w:sz w:val="24"/>
          <w:szCs w:val="24"/>
        </w:rPr>
        <w:t>through education and awareness. People should be educated on the significance of adherence to treatment and a healthy lifestyle to ensure that infections are reduced.</w:t>
      </w:r>
    </w:p>
    <w:p w14:paraId="7447E1BE" w14:textId="77777777" w:rsidR="00AF511D" w:rsidRDefault="00AF511D" w:rsidP="00AF511D">
      <w:pPr>
        <w:spacing w:after="0" w:line="480" w:lineRule="auto"/>
        <w:ind w:firstLine="851"/>
        <w:rPr>
          <w:rFonts w:ascii="Times New Roman" w:hAnsi="Times New Roman" w:cs="Times New Roman"/>
          <w:color w:val="000000" w:themeColor="text1"/>
          <w:sz w:val="24"/>
          <w:szCs w:val="24"/>
        </w:rPr>
      </w:pPr>
    </w:p>
    <w:p w14:paraId="1B22C20F" w14:textId="3E8D9E19" w:rsidR="00AF511D" w:rsidRPr="00AF511D" w:rsidRDefault="00547506" w:rsidP="00AF511D">
      <w:pPr>
        <w:spacing w:after="0" w:line="480" w:lineRule="auto"/>
        <w:ind w:firstLine="851"/>
        <w:jc w:val="center"/>
        <w:rPr>
          <w:rFonts w:ascii="Times New Roman" w:hAnsi="Times New Roman" w:cs="Times New Roman"/>
          <w:color w:val="000000" w:themeColor="text1"/>
          <w:sz w:val="24"/>
          <w:szCs w:val="24"/>
        </w:rPr>
      </w:pPr>
      <w:r w:rsidRPr="00AF511D">
        <w:rPr>
          <w:rFonts w:ascii="Times New Roman" w:hAnsi="Times New Roman" w:cs="Times New Roman"/>
          <w:color w:val="000000" w:themeColor="text1"/>
          <w:sz w:val="24"/>
          <w:szCs w:val="24"/>
        </w:rPr>
        <w:lastRenderedPageBreak/>
        <w:t>References</w:t>
      </w:r>
    </w:p>
    <w:p w14:paraId="1F7B76AB" w14:textId="77777777" w:rsidR="00AF511D" w:rsidRPr="00AF511D" w:rsidRDefault="00547506" w:rsidP="00AF511D">
      <w:pPr>
        <w:spacing w:after="0" w:line="480" w:lineRule="auto"/>
        <w:ind w:left="851" w:hanging="851"/>
        <w:rPr>
          <w:rFonts w:ascii="Times New Roman" w:hAnsi="Times New Roman" w:cs="Times New Roman"/>
          <w:color w:val="000000" w:themeColor="text1"/>
          <w:sz w:val="24"/>
          <w:szCs w:val="24"/>
          <w:shd w:val="clear" w:color="auto" w:fill="FFFFFF"/>
        </w:rPr>
      </w:pPr>
      <w:r w:rsidRPr="00AF511D">
        <w:rPr>
          <w:rFonts w:ascii="Times New Roman" w:hAnsi="Times New Roman" w:cs="Times New Roman"/>
          <w:color w:val="000000" w:themeColor="text1"/>
          <w:sz w:val="24"/>
          <w:szCs w:val="24"/>
          <w:shd w:val="clear" w:color="auto" w:fill="FFFFFF"/>
        </w:rPr>
        <w:t>Narasimhan, P., Wood, J., Macintyre, C. R., &amp; Mathai, D. (2013). Risk factors for tuberculosis. </w:t>
      </w:r>
      <w:r w:rsidRPr="00AF511D">
        <w:rPr>
          <w:rFonts w:ascii="Times New Roman" w:hAnsi="Times New Roman" w:cs="Times New Roman"/>
          <w:i/>
          <w:iCs/>
          <w:color w:val="000000" w:themeColor="text1"/>
          <w:sz w:val="24"/>
          <w:szCs w:val="24"/>
          <w:shd w:val="clear" w:color="auto" w:fill="FFFFFF"/>
        </w:rPr>
        <w:t>Pulmonary medicine</w:t>
      </w:r>
      <w:r w:rsidRPr="00AF511D">
        <w:rPr>
          <w:rFonts w:ascii="Times New Roman" w:hAnsi="Times New Roman" w:cs="Times New Roman"/>
          <w:color w:val="000000" w:themeColor="text1"/>
          <w:sz w:val="24"/>
          <w:szCs w:val="24"/>
          <w:shd w:val="clear" w:color="auto" w:fill="FFFFFF"/>
        </w:rPr>
        <w:t>, </w:t>
      </w:r>
      <w:r w:rsidRPr="00AF511D">
        <w:rPr>
          <w:rFonts w:ascii="Times New Roman" w:hAnsi="Times New Roman" w:cs="Times New Roman"/>
          <w:i/>
          <w:iCs/>
          <w:color w:val="000000" w:themeColor="text1"/>
          <w:sz w:val="24"/>
          <w:szCs w:val="24"/>
          <w:shd w:val="clear" w:color="auto" w:fill="FFFFFF"/>
        </w:rPr>
        <w:t>2013</w:t>
      </w:r>
      <w:r w:rsidRPr="00AF511D">
        <w:rPr>
          <w:rFonts w:ascii="Times New Roman" w:hAnsi="Times New Roman" w:cs="Times New Roman"/>
          <w:color w:val="000000" w:themeColor="text1"/>
          <w:sz w:val="24"/>
          <w:szCs w:val="24"/>
          <w:shd w:val="clear" w:color="auto" w:fill="FFFFFF"/>
        </w:rPr>
        <w:t xml:space="preserve">, 828939. </w:t>
      </w:r>
      <w:hyperlink r:id="rId6" w:history="1">
        <w:r w:rsidRPr="00AF511D">
          <w:rPr>
            <w:rStyle w:val="Hyperlink"/>
            <w:rFonts w:ascii="Times New Roman" w:hAnsi="Times New Roman" w:cs="Times New Roman"/>
            <w:color w:val="000000" w:themeColor="text1"/>
            <w:sz w:val="24"/>
            <w:szCs w:val="24"/>
            <w:u w:val="none"/>
            <w:shd w:val="clear" w:color="auto" w:fill="FFFFFF"/>
          </w:rPr>
          <w:t>https://doi.org/10.1155/2013/828939</w:t>
        </w:r>
      </w:hyperlink>
    </w:p>
    <w:p w14:paraId="5E8440F5" w14:textId="2522AE83" w:rsidR="00AF511D" w:rsidRPr="00AF511D" w:rsidRDefault="00547506" w:rsidP="00AF511D">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AF511D">
        <w:rPr>
          <w:rFonts w:ascii="Times New Roman" w:hAnsi="Times New Roman" w:cs="Times New Roman"/>
          <w:color w:val="000000" w:themeColor="text1"/>
          <w:sz w:val="24"/>
          <w:szCs w:val="24"/>
          <w:shd w:val="clear" w:color="auto" w:fill="FFFFFF"/>
        </w:rPr>
        <w:t>Nathavitharana</w:t>
      </w:r>
      <w:proofErr w:type="spellEnd"/>
      <w:r w:rsidRPr="00AF511D">
        <w:rPr>
          <w:rFonts w:ascii="Times New Roman" w:hAnsi="Times New Roman" w:cs="Times New Roman"/>
          <w:color w:val="000000" w:themeColor="text1"/>
          <w:sz w:val="24"/>
          <w:szCs w:val="24"/>
          <w:shd w:val="clear" w:color="auto" w:fill="FFFFFF"/>
        </w:rPr>
        <w:t xml:space="preserve">, R. R., Lederer, P., Tierney, D. B., &amp; </w:t>
      </w:r>
      <w:proofErr w:type="spellStart"/>
      <w:r w:rsidRPr="00AF511D">
        <w:rPr>
          <w:rFonts w:ascii="Times New Roman" w:hAnsi="Times New Roman" w:cs="Times New Roman"/>
          <w:color w:val="000000" w:themeColor="text1"/>
          <w:sz w:val="24"/>
          <w:szCs w:val="24"/>
          <w:shd w:val="clear" w:color="auto" w:fill="FFFFFF"/>
        </w:rPr>
        <w:t>Nardell</w:t>
      </w:r>
      <w:proofErr w:type="spellEnd"/>
      <w:r w:rsidRPr="00AF511D">
        <w:rPr>
          <w:rFonts w:ascii="Times New Roman" w:hAnsi="Times New Roman" w:cs="Times New Roman"/>
          <w:color w:val="000000" w:themeColor="text1"/>
          <w:sz w:val="24"/>
          <w:szCs w:val="24"/>
          <w:shd w:val="clear" w:color="auto" w:fill="FFFFFF"/>
        </w:rPr>
        <w:t>, E. (2019). Treatment as prevention and other interventions to reduce transmission of multidrug-resistant tuberculosis. </w:t>
      </w:r>
      <w:r w:rsidRPr="00AF511D">
        <w:rPr>
          <w:rFonts w:ascii="Times New Roman" w:hAnsi="Times New Roman" w:cs="Times New Roman"/>
          <w:i/>
          <w:iCs/>
          <w:color w:val="000000" w:themeColor="text1"/>
          <w:sz w:val="24"/>
          <w:szCs w:val="24"/>
          <w:shd w:val="clear" w:color="auto" w:fill="FFFFFF"/>
        </w:rPr>
        <w:t>The international journal of tuberculosis and lung disease: the official journal of the International Union against Tuberculosis and Lung Disease</w:t>
      </w:r>
      <w:r w:rsidRPr="00AF511D">
        <w:rPr>
          <w:rFonts w:ascii="Times New Roman" w:hAnsi="Times New Roman" w:cs="Times New Roman"/>
          <w:color w:val="000000" w:themeColor="text1"/>
          <w:sz w:val="24"/>
          <w:szCs w:val="24"/>
          <w:shd w:val="clear" w:color="auto" w:fill="FFFFFF"/>
        </w:rPr>
        <w:t>, </w:t>
      </w:r>
      <w:r w:rsidRPr="00AF511D">
        <w:rPr>
          <w:rFonts w:ascii="Times New Roman" w:hAnsi="Times New Roman" w:cs="Times New Roman"/>
          <w:i/>
          <w:iCs/>
          <w:color w:val="000000" w:themeColor="text1"/>
          <w:sz w:val="24"/>
          <w:szCs w:val="24"/>
          <w:shd w:val="clear" w:color="auto" w:fill="FFFFFF"/>
        </w:rPr>
        <w:t>23</w:t>
      </w:r>
      <w:r w:rsidRPr="00AF511D">
        <w:rPr>
          <w:rFonts w:ascii="Times New Roman" w:hAnsi="Times New Roman" w:cs="Times New Roman"/>
          <w:color w:val="000000" w:themeColor="text1"/>
          <w:sz w:val="24"/>
          <w:szCs w:val="24"/>
          <w:shd w:val="clear" w:color="auto" w:fill="FFFFFF"/>
        </w:rPr>
        <w:t xml:space="preserve">(4), 396–404. </w:t>
      </w:r>
      <w:hyperlink r:id="rId7" w:history="1">
        <w:r w:rsidRPr="00AF511D">
          <w:rPr>
            <w:rStyle w:val="Hyperlink"/>
            <w:rFonts w:ascii="Times New Roman" w:hAnsi="Times New Roman" w:cs="Times New Roman"/>
            <w:color w:val="000000" w:themeColor="text1"/>
            <w:sz w:val="24"/>
            <w:szCs w:val="24"/>
            <w:u w:val="none"/>
            <w:shd w:val="clear" w:color="auto" w:fill="FFFFFF"/>
          </w:rPr>
          <w:t>https://doi.org/10.5588/ijtld.18.0276</w:t>
        </w:r>
      </w:hyperlink>
    </w:p>
    <w:p w14:paraId="12BCD1BF" w14:textId="77777777" w:rsidR="00AF511D" w:rsidRPr="00AF511D" w:rsidRDefault="00547506" w:rsidP="00AF511D">
      <w:pPr>
        <w:spacing w:after="0" w:line="480" w:lineRule="auto"/>
        <w:ind w:left="851" w:hanging="851"/>
        <w:rPr>
          <w:rFonts w:ascii="Times New Roman" w:hAnsi="Times New Roman" w:cs="Times New Roman"/>
          <w:color w:val="000000" w:themeColor="text1"/>
          <w:sz w:val="24"/>
          <w:szCs w:val="24"/>
          <w:shd w:val="clear" w:color="auto" w:fill="FFFFFF"/>
        </w:rPr>
      </w:pPr>
      <w:r w:rsidRPr="00AF511D">
        <w:rPr>
          <w:rFonts w:ascii="Times New Roman" w:hAnsi="Times New Roman" w:cs="Times New Roman"/>
          <w:color w:val="000000" w:themeColor="text1"/>
          <w:sz w:val="24"/>
          <w:szCs w:val="24"/>
          <w:shd w:val="clear" w:color="auto" w:fill="FFFFFF"/>
        </w:rPr>
        <w:t>S</w:t>
      </w:r>
      <w:r w:rsidRPr="00AF511D">
        <w:rPr>
          <w:rFonts w:ascii="Times New Roman" w:hAnsi="Times New Roman" w:cs="Times New Roman"/>
          <w:color w:val="000000" w:themeColor="text1"/>
          <w:sz w:val="24"/>
          <w:szCs w:val="24"/>
          <w:shd w:val="clear" w:color="auto" w:fill="FFFFFF"/>
        </w:rPr>
        <w:t xml:space="preserve">tewart, R. J., Tsang, C. A., Pratt, R. H., Price, S. F., &amp; Langer, A. J. (2018). Tuberculosis - the United States, 2017. </w:t>
      </w:r>
      <w:r w:rsidRPr="00AF511D">
        <w:rPr>
          <w:rFonts w:ascii="Times New Roman" w:hAnsi="Times New Roman" w:cs="Times New Roman"/>
          <w:i/>
          <w:iCs/>
          <w:color w:val="000000" w:themeColor="text1"/>
          <w:sz w:val="24"/>
          <w:szCs w:val="24"/>
          <w:shd w:val="clear" w:color="auto" w:fill="FFFFFF"/>
        </w:rPr>
        <w:t>MMWR. Morbidity and mortality weekly report</w:t>
      </w:r>
      <w:r w:rsidRPr="00AF511D">
        <w:rPr>
          <w:rFonts w:ascii="Times New Roman" w:hAnsi="Times New Roman" w:cs="Times New Roman"/>
          <w:color w:val="000000" w:themeColor="text1"/>
          <w:sz w:val="24"/>
          <w:szCs w:val="24"/>
          <w:shd w:val="clear" w:color="auto" w:fill="FFFFFF"/>
        </w:rPr>
        <w:t>, </w:t>
      </w:r>
      <w:r w:rsidRPr="00AF511D">
        <w:rPr>
          <w:rFonts w:ascii="Times New Roman" w:hAnsi="Times New Roman" w:cs="Times New Roman"/>
          <w:i/>
          <w:iCs/>
          <w:color w:val="000000" w:themeColor="text1"/>
          <w:sz w:val="24"/>
          <w:szCs w:val="24"/>
          <w:shd w:val="clear" w:color="auto" w:fill="FFFFFF"/>
        </w:rPr>
        <w:t>67</w:t>
      </w:r>
      <w:r w:rsidRPr="00AF511D">
        <w:rPr>
          <w:rFonts w:ascii="Times New Roman" w:hAnsi="Times New Roman" w:cs="Times New Roman"/>
          <w:color w:val="000000" w:themeColor="text1"/>
          <w:sz w:val="24"/>
          <w:szCs w:val="24"/>
          <w:shd w:val="clear" w:color="auto" w:fill="FFFFFF"/>
        </w:rPr>
        <w:t xml:space="preserve">(11), 317–323. </w:t>
      </w:r>
      <w:hyperlink r:id="rId8" w:history="1">
        <w:r w:rsidRPr="00AF511D">
          <w:rPr>
            <w:rStyle w:val="Hyperlink"/>
            <w:rFonts w:ascii="Times New Roman" w:hAnsi="Times New Roman" w:cs="Times New Roman"/>
            <w:color w:val="000000" w:themeColor="text1"/>
            <w:sz w:val="24"/>
            <w:szCs w:val="24"/>
            <w:u w:val="none"/>
            <w:shd w:val="clear" w:color="auto" w:fill="FFFFFF"/>
          </w:rPr>
          <w:t>https://doi.org/10</w:t>
        </w:r>
        <w:r w:rsidRPr="00AF511D">
          <w:rPr>
            <w:rStyle w:val="Hyperlink"/>
            <w:rFonts w:ascii="Times New Roman" w:hAnsi="Times New Roman" w:cs="Times New Roman"/>
            <w:color w:val="000000" w:themeColor="text1"/>
            <w:sz w:val="24"/>
            <w:szCs w:val="24"/>
            <w:u w:val="none"/>
            <w:shd w:val="clear" w:color="auto" w:fill="FFFFFF"/>
          </w:rPr>
          <w:t>.15585/mmwr.mm6711a2</w:t>
        </w:r>
      </w:hyperlink>
    </w:p>
    <w:p w14:paraId="70C73E96" w14:textId="77777777" w:rsidR="00AF511D" w:rsidRPr="00AF511D" w:rsidRDefault="00547506" w:rsidP="00AF511D">
      <w:pPr>
        <w:spacing w:after="0" w:line="480" w:lineRule="auto"/>
        <w:ind w:left="851" w:hanging="851"/>
        <w:rPr>
          <w:rFonts w:ascii="Times New Roman" w:hAnsi="Times New Roman" w:cs="Times New Roman"/>
          <w:color w:val="000000" w:themeColor="text1"/>
          <w:sz w:val="24"/>
          <w:szCs w:val="24"/>
          <w:shd w:val="clear" w:color="auto" w:fill="FFFFFF"/>
        </w:rPr>
      </w:pPr>
      <w:proofErr w:type="gramStart"/>
      <w:r w:rsidRPr="00AF511D">
        <w:rPr>
          <w:rFonts w:ascii="Times New Roman" w:hAnsi="Times New Roman" w:cs="Times New Roman"/>
          <w:color w:val="000000" w:themeColor="text1"/>
          <w:sz w:val="24"/>
          <w:szCs w:val="24"/>
          <w:shd w:val="clear" w:color="auto" w:fill="FFFFFF"/>
        </w:rPr>
        <w:t>WHO.</w:t>
      </w:r>
      <w:proofErr w:type="gramEnd"/>
      <w:r w:rsidRPr="00AF511D">
        <w:rPr>
          <w:rFonts w:ascii="Times New Roman" w:hAnsi="Times New Roman" w:cs="Times New Roman"/>
          <w:color w:val="000000" w:themeColor="text1"/>
          <w:sz w:val="24"/>
          <w:szCs w:val="24"/>
          <w:shd w:val="clear" w:color="auto" w:fill="FFFFFF"/>
        </w:rPr>
        <w:t xml:space="preserve"> (2020). Retrieved 27 August 2020, from https://www.who.int/news-room/fact-sheets/detail/tuberculosis</w:t>
      </w:r>
    </w:p>
    <w:p w14:paraId="26B8F528" w14:textId="77777777" w:rsidR="00AF511D" w:rsidRPr="00AF511D" w:rsidRDefault="00547506" w:rsidP="00AF511D">
      <w:pPr>
        <w:spacing w:after="0" w:line="480" w:lineRule="auto"/>
        <w:ind w:left="851" w:hanging="851"/>
        <w:rPr>
          <w:rFonts w:ascii="Times New Roman" w:hAnsi="Times New Roman" w:cs="Times New Roman"/>
          <w:color w:val="000000" w:themeColor="text1"/>
          <w:sz w:val="24"/>
          <w:szCs w:val="24"/>
          <w:shd w:val="clear" w:color="auto" w:fill="FFFFFF"/>
        </w:rPr>
      </w:pPr>
      <w:r w:rsidRPr="00AF511D">
        <w:rPr>
          <w:rFonts w:ascii="Times New Roman" w:hAnsi="Times New Roman" w:cs="Times New Roman"/>
          <w:color w:val="000000" w:themeColor="text1"/>
          <w:sz w:val="24"/>
          <w:szCs w:val="24"/>
          <w:shd w:val="clear" w:color="auto" w:fill="FFFFFF"/>
        </w:rPr>
        <w:t xml:space="preserve">Zaman, K. (2010). Tuberculosis: a global health problem. </w:t>
      </w:r>
      <w:r w:rsidRPr="00AF511D">
        <w:rPr>
          <w:rFonts w:ascii="Times New Roman" w:hAnsi="Times New Roman" w:cs="Times New Roman"/>
          <w:i/>
          <w:iCs/>
          <w:color w:val="000000" w:themeColor="text1"/>
          <w:sz w:val="24"/>
          <w:szCs w:val="24"/>
          <w:shd w:val="clear" w:color="auto" w:fill="FFFFFF"/>
        </w:rPr>
        <w:t>Journal of health, population, and nutrition</w:t>
      </w:r>
      <w:r w:rsidRPr="00AF511D">
        <w:rPr>
          <w:rFonts w:ascii="Times New Roman" w:hAnsi="Times New Roman" w:cs="Times New Roman"/>
          <w:color w:val="000000" w:themeColor="text1"/>
          <w:sz w:val="24"/>
          <w:szCs w:val="24"/>
          <w:shd w:val="clear" w:color="auto" w:fill="FFFFFF"/>
        </w:rPr>
        <w:t>, </w:t>
      </w:r>
      <w:r w:rsidRPr="00AF511D">
        <w:rPr>
          <w:rFonts w:ascii="Times New Roman" w:hAnsi="Times New Roman" w:cs="Times New Roman"/>
          <w:i/>
          <w:iCs/>
          <w:color w:val="000000" w:themeColor="text1"/>
          <w:sz w:val="24"/>
          <w:szCs w:val="24"/>
          <w:shd w:val="clear" w:color="auto" w:fill="FFFFFF"/>
        </w:rPr>
        <w:t>28</w:t>
      </w:r>
      <w:r w:rsidRPr="00AF511D">
        <w:rPr>
          <w:rFonts w:ascii="Times New Roman" w:hAnsi="Times New Roman" w:cs="Times New Roman"/>
          <w:color w:val="000000" w:themeColor="text1"/>
          <w:sz w:val="24"/>
          <w:szCs w:val="24"/>
          <w:shd w:val="clear" w:color="auto" w:fill="FFFFFF"/>
        </w:rPr>
        <w:t xml:space="preserve">(2), 111–113. </w:t>
      </w:r>
      <w:hyperlink r:id="rId9" w:history="1">
        <w:r w:rsidRPr="00AF511D">
          <w:rPr>
            <w:rStyle w:val="Hyperlink"/>
            <w:rFonts w:ascii="Times New Roman" w:hAnsi="Times New Roman" w:cs="Times New Roman"/>
            <w:color w:val="000000" w:themeColor="text1"/>
            <w:sz w:val="24"/>
            <w:szCs w:val="24"/>
            <w:u w:val="none"/>
            <w:shd w:val="clear" w:color="auto" w:fill="FFFFFF"/>
          </w:rPr>
          <w:t>https://doi.org/10.3329/jhpn.v28i2.4879</w:t>
        </w:r>
      </w:hyperlink>
    </w:p>
    <w:sectPr w:rsidR="00AF511D" w:rsidRPr="00AF511D" w:rsidSect="00AF511D">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50379C" w14:textId="77777777" w:rsidR="00547506" w:rsidRDefault="00547506">
      <w:pPr>
        <w:spacing w:after="0" w:line="240" w:lineRule="auto"/>
      </w:pPr>
      <w:r>
        <w:separator/>
      </w:r>
    </w:p>
  </w:endnote>
  <w:endnote w:type="continuationSeparator" w:id="0">
    <w:p w14:paraId="628E4F91" w14:textId="77777777" w:rsidR="00547506" w:rsidRDefault="00547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1C6D7A" w14:textId="77777777" w:rsidR="00547506" w:rsidRDefault="00547506">
      <w:pPr>
        <w:spacing w:after="0" w:line="240" w:lineRule="auto"/>
      </w:pPr>
      <w:r>
        <w:separator/>
      </w:r>
    </w:p>
  </w:footnote>
  <w:footnote w:type="continuationSeparator" w:id="0">
    <w:p w14:paraId="04AB8961" w14:textId="77777777" w:rsidR="00547506" w:rsidRDefault="00547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BBE49" w14:textId="668CF5DC" w:rsidR="00AF511D" w:rsidRPr="00AF511D" w:rsidRDefault="00547506" w:rsidP="00AF511D">
    <w:pPr>
      <w:pStyle w:val="Header"/>
      <w:rPr>
        <w:rFonts w:ascii="Times New Roman" w:hAnsi="Times New Roman" w:cs="Times New Roman"/>
        <w:sz w:val="24"/>
        <w:szCs w:val="24"/>
      </w:rPr>
    </w:pPr>
    <w:r w:rsidRPr="00AF511D">
      <w:rPr>
        <w:rFonts w:ascii="Times New Roman" w:hAnsi="Times New Roman" w:cs="Times New Roman"/>
        <w:sz w:val="24"/>
        <w:szCs w:val="24"/>
      </w:rPr>
      <w:t xml:space="preserve">TUBERCULOSIS </w:t>
    </w:r>
    <w:sdt>
      <w:sdtPr>
        <w:rPr>
          <w:rFonts w:ascii="Times New Roman" w:hAnsi="Times New Roman" w:cs="Times New Roman"/>
          <w:sz w:val="24"/>
          <w:szCs w:val="24"/>
        </w:rPr>
        <w:id w:val="114986172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F511D">
          <w:rPr>
            <w:rFonts w:ascii="Times New Roman" w:hAnsi="Times New Roman" w:cs="Times New Roman"/>
            <w:sz w:val="24"/>
            <w:szCs w:val="24"/>
          </w:rPr>
          <w:fldChar w:fldCharType="begin"/>
        </w:r>
        <w:r w:rsidRPr="00AF511D">
          <w:rPr>
            <w:rFonts w:ascii="Times New Roman" w:hAnsi="Times New Roman" w:cs="Times New Roman"/>
            <w:sz w:val="24"/>
            <w:szCs w:val="24"/>
          </w:rPr>
          <w:instrText xml:space="preserve"> PAGE   \* MERGEFORMAT </w:instrText>
        </w:r>
        <w:r w:rsidRPr="00AF511D">
          <w:rPr>
            <w:rFonts w:ascii="Times New Roman" w:hAnsi="Times New Roman" w:cs="Times New Roman"/>
            <w:sz w:val="24"/>
            <w:szCs w:val="24"/>
          </w:rPr>
          <w:fldChar w:fldCharType="separate"/>
        </w:r>
        <w:r w:rsidRPr="00AF511D">
          <w:rPr>
            <w:rFonts w:ascii="Times New Roman" w:hAnsi="Times New Roman" w:cs="Times New Roman"/>
            <w:noProof/>
            <w:sz w:val="24"/>
            <w:szCs w:val="24"/>
          </w:rPr>
          <w:t>2</w:t>
        </w:r>
        <w:r w:rsidRPr="00AF511D">
          <w:rPr>
            <w:rFonts w:ascii="Times New Roman" w:hAnsi="Times New Roman" w:cs="Times New Roman"/>
            <w:noProof/>
            <w:sz w:val="24"/>
            <w:szCs w:val="24"/>
          </w:rPr>
          <w:fldChar w:fldCharType="end"/>
        </w:r>
      </w:sdtContent>
    </w:sdt>
  </w:p>
  <w:p w14:paraId="2D362E46" w14:textId="77777777" w:rsidR="00AF511D" w:rsidRDefault="00AF5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A63DE" w14:textId="1D7767DD" w:rsidR="00AF511D" w:rsidRPr="00AF511D" w:rsidRDefault="00547506" w:rsidP="00AF511D">
    <w:pPr>
      <w:pStyle w:val="Header"/>
      <w:rPr>
        <w:rFonts w:ascii="Times New Roman" w:hAnsi="Times New Roman" w:cs="Times New Roman"/>
        <w:sz w:val="24"/>
        <w:szCs w:val="24"/>
      </w:rPr>
    </w:pPr>
    <w:r w:rsidRPr="00AF511D">
      <w:rPr>
        <w:rFonts w:ascii="Times New Roman" w:hAnsi="Times New Roman" w:cs="Times New Roman"/>
        <w:sz w:val="24"/>
        <w:szCs w:val="24"/>
      </w:rPr>
      <w:t>Running head: TUBERCULOSIS</w:t>
    </w:r>
    <w:sdt>
      <w:sdtPr>
        <w:rPr>
          <w:rFonts w:ascii="Times New Roman" w:hAnsi="Times New Roman" w:cs="Times New Roman"/>
          <w:sz w:val="24"/>
          <w:szCs w:val="24"/>
        </w:rPr>
        <w:id w:val="-7938980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F511D">
          <w:rPr>
            <w:rFonts w:ascii="Times New Roman" w:hAnsi="Times New Roman" w:cs="Times New Roman"/>
            <w:sz w:val="24"/>
            <w:szCs w:val="24"/>
          </w:rPr>
          <w:fldChar w:fldCharType="begin"/>
        </w:r>
        <w:r w:rsidRPr="00AF511D">
          <w:rPr>
            <w:rFonts w:ascii="Times New Roman" w:hAnsi="Times New Roman" w:cs="Times New Roman"/>
            <w:sz w:val="24"/>
            <w:szCs w:val="24"/>
          </w:rPr>
          <w:instrText xml:space="preserve"> PAGE   \* MERGEFORMAT </w:instrText>
        </w:r>
        <w:r w:rsidRPr="00AF511D">
          <w:rPr>
            <w:rFonts w:ascii="Times New Roman" w:hAnsi="Times New Roman" w:cs="Times New Roman"/>
            <w:sz w:val="24"/>
            <w:szCs w:val="24"/>
          </w:rPr>
          <w:fldChar w:fldCharType="separate"/>
        </w:r>
        <w:r w:rsidRPr="00AF511D">
          <w:rPr>
            <w:rFonts w:ascii="Times New Roman" w:hAnsi="Times New Roman" w:cs="Times New Roman"/>
            <w:noProof/>
            <w:sz w:val="24"/>
            <w:szCs w:val="24"/>
          </w:rPr>
          <w:t>2</w:t>
        </w:r>
        <w:r w:rsidRPr="00AF511D">
          <w:rPr>
            <w:rFonts w:ascii="Times New Roman" w:hAnsi="Times New Roman" w:cs="Times New Roman"/>
            <w:noProof/>
            <w:sz w:val="24"/>
            <w:szCs w:val="24"/>
          </w:rPr>
          <w:fldChar w:fldCharType="end"/>
        </w:r>
      </w:sdtContent>
    </w:sdt>
  </w:p>
  <w:p w14:paraId="3DC72D7A" w14:textId="77777777" w:rsidR="00AF511D" w:rsidRDefault="00AF51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CE4"/>
    <w:rsid w:val="000B0BD3"/>
    <w:rsid w:val="001425F3"/>
    <w:rsid w:val="002D1979"/>
    <w:rsid w:val="00365113"/>
    <w:rsid w:val="00380949"/>
    <w:rsid w:val="003C0A97"/>
    <w:rsid w:val="004A120B"/>
    <w:rsid w:val="004C1F96"/>
    <w:rsid w:val="00547506"/>
    <w:rsid w:val="00715CE4"/>
    <w:rsid w:val="008627E7"/>
    <w:rsid w:val="008F0F9B"/>
    <w:rsid w:val="009C5616"/>
    <w:rsid w:val="00AA53A9"/>
    <w:rsid w:val="00AF511D"/>
    <w:rsid w:val="00B20551"/>
    <w:rsid w:val="00B4282D"/>
    <w:rsid w:val="00C71A94"/>
    <w:rsid w:val="00CA3B0E"/>
    <w:rsid w:val="00D431ED"/>
    <w:rsid w:val="00E2415B"/>
    <w:rsid w:val="00FB4FE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33FCA"/>
  <w15:chartTrackingRefBased/>
  <w15:docId w15:val="{55A40679-6CD0-4307-AD22-C79913F8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511D"/>
    <w:rPr>
      <w:color w:val="0563C1" w:themeColor="hyperlink"/>
      <w:u w:val="single"/>
    </w:rPr>
  </w:style>
  <w:style w:type="character" w:customStyle="1" w:styleId="UnresolvedMention1">
    <w:name w:val="Unresolved Mention1"/>
    <w:basedOn w:val="DefaultParagraphFont"/>
    <w:uiPriority w:val="99"/>
    <w:semiHidden/>
    <w:unhideWhenUsed/>
    <w:rsid w:val="00AF511D"/>
    <w:rPr>
      <w:color w:val="605E5C"/>
      <w:shd w:val="clear" w:color="auto" w:fill="E1DFDD"/>
    </w:rPr>
  </w:style>
  <w:style w:type="paragraph" w:styleId="Header">
    <w:name w:val="header"/>
    <w:basedOn w:val="Normal"/>
    <w:link w:val="HeaderChar"/>
    <w:uiPriority w:val="99"/>
    <w:unhideWhenUsed/>
    <w:rsid w:val="00AF5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11D"/>
    <w:rPr>
      <w:lang w:val="en-US"/>
    </w:rPr>
  </w:style>
  <w:style w:type="paragraph" w:styleId="Footer">
    <w:name w:val="footer"/>
    <w:basedOn w:val="Normal"/>
    <w:link w:val="FooterChar"/>
    <w:uiPriority w:val="99"/>
    <w:unhideWhenUsed/>
    <w:rsid w:val="00AF5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11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585/mmwr.mm6711a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5588/ijtld.18.027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55/2013/828939"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3329/jhpn.v28i2.48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6</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2020-08-27T05:37:00Z</dcterms:created>
  <dcterms:modified xsi:type="dcterms:W3CDTF">2020-08-27T08:34:00Z</dcterms:modified>
</cp:coreProperties>
</file>