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Blog Post 1</w:t>
      </w:r>
    </w:p>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Over the last week our team researched the target audience for the Arbonne international group. The scope of the company is to provide clean organic and safe product for people to use. Targeting people who want to have a better way of dieting, using organic skincare products and who want to use clean and chemical free body products.</w:t>
      </w:r>
    </w:p>
    <w:p w:rsidR="00000000" w:rsidDel="00000000" w:rsidP="00000000" w:rsidRDefault="00000000" w:rsidRPr="00000000" w14:paraId="00000003">
      <w:pPr>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main target audience is primarily middle age women who work out and need a healthy diet. Also they usually have one or more children so slipping them something healthy every now and again makes them smile. This is the main Target audience because we found that moms often want to eat healthy and use clean product however never have time to spare at the end of the day. With Arbonne it replaces items like makeup and skin care products so you can build it into your day without having to rearrange the chaos of a normal day.</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For a diet line we have protein powder and energy fizz sticks. Yes you will have to build it into your schedule but what diet does not require you to build it into your schedule. However arbonne avoids putting additives and toxins into their product. Every product is derived from organic means and is clean and environmentally safe. Thus we can attract those moms that are always on the run and don’t have time to diet, because they can give the granola bars arbonne sells to children without any harm. That is what appeals to our target market, the fact we can make our product safe for children is a big one for moms that are on the move and have the occasional my child drank my protein shake. Don’t recommend you let a 6 year old child drink your protein shake, but accidents happen sometimes and they manage to get a sip or two. </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