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center"/>
        <w:rPr>
          <w:color w:val="0E101A"/>
        </w:rPr>
      </w:pPr>
      <w:bookmarkStart w:id="0" w:name="_GoBack"/>
      <w:r>
        <w:rPr>
          <w:color w:val="0E101A"/>
        </w:rPr>
        <w:t>Taxation</w:t>
      </w:r>
    </w:p>
    <w:bookmarkEnd w:id="0"/>
    <w:p w:rsidR="00D359B3" w:rsidRDefault="00D359B3" w:rsidP="00D359B3">
      <w:pPr>
        <w:pStyle w:val="NormalWeb"/>
        <w:spacing w:before="0" w:beforeAutospacing="0" w:after="0" w:afterAutospacing="0" w:line="480" w:lineRule="auto"/>
        <w:jc w:val="center"/>
        <w:rPr>
          <w:color w:val="0E101A"/>
        </w:rPr>
      </w:pPr>
      <w:r>
        <w:rPr>
          <w:color w:val="0E101A"/>
        </w:rPr>
        <w:t>Student’s Name</w:t>
      </w:r>
    </w:p>
    <w:p w:rsidR="00D359B3" w:rsidRDefault="00D359B3" w:rsidP="00D359B3">
      <w:pPr>
        <w:pStyle w:val="NormalWeb"/>
        <w:spacing w:before="0" w:beforeAutospacing="0" w:after="0" w:afterAutospacing="0" w:line="480" w:lineRule="auto"/>
        <w:jc w:val="center"/>
        <w:rPr>
          <w:color w:val="0E101A"/>
        </w:rPr>
      </w:pPr>
      <w:r>
        <w:rPr>
          <w:color w:val="0E101A"/>
        </w:rPr>
        <w:t>Institution Affiliation</w:t>
      </w:r>
    </w:p>
    <w:p w:rsidR="00D359B3" w:rsidRDefault="00D359B3" w:rsidP="00D359B3">
      <w:pPr>
        <w:pStyle w:val="NormalWeb"/>
        <w:spacing w:before="0" w:beforeAutospacing="0" w:after="0" w:afterAutospacing="0" w:line="480" w:lineRule="auto"/>
        <w:jc w:val="center"/>
        <w:rPr>
          <w:color w:val="0E101A"/>
        </w:rPr>
      </w:pPr>
      <w:r>
        <w:rPr>
          <w:color w:val="0E101A"/>
        </w:rPr>
        <w:t>Course</w:t>
      </w:r>
    </w:p>
    <w:p w:rsidR="00D359B3" w:rsidRDefault="00D359B3" w:rsidP="00D359B3">
      <w:pPr>
        <w:pStyle w:val="NormalWeb"/>
        <w:spacing w:before="0" w:beforeAutospacing="0" w:after="0" w:afterAutospacing="0" w:line="480" w:lineRule="auto"/>
        <w:jc w:val="center"/>
        <w:rPr>
          <w:color w:val="0E101A"/>
        </w:rPr>
      </w:pPr>
      <w:r>
        <w:rPr>
          <w:color w:val="0E101A"/>
        </w:rPr>
        <w:t>Date</w:t>
      </w:r>
    </w:p>
    <w:p w:rsidR="00D359B3" w:rsidRDefault="00D359B3" w:rsidP="00D359B3">
      <w:pPr>
        <w:pStyle w:val="NormalWeb"/>
        <w:spacing w:before="0" w:beforeAutospacing="0" w:after="0" w:afterAutospacing="0" w:line="480" w:lineRule="auto"/>
        <w:jc w:val="center"/>
        <w:rPr>
          <w:color w:val="0E101A"/>
        </w:rPr>
      </w:pPr>
    </w:p>
    <w:p w:rsidR="00D359B3" w:rsidRDefault="00D359B3" w:rsidP="00D359B3">
      <w:pPr>
        <w:pStyle w:val="NormalWeb"/>
        <w:spacing w:before="0" w:beforeAutospacing="0" w:after="0" w:afterAutospacing="0" w:line="480" w:lineRule="auto"/>
        <w:jc w:val="center"/>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both"/>
        <w:rPr>
          <w:color w:val="0E101A"/>
        </w:rPr>
      </w:pPr>
    </w:p>
    <w:p w:rsidR="00D359B3" w:rsidRDefault="00D359B3" w:rsidP="00D359B3">
      <w:pPr>
        <w:pStyle w:val="NormalWeb"/>
        <w:spacing w:before="0" w:beforeAutospacing="0" w:after="0" w:afterAutospacing="0" w:line="480" w:lineRule="auto"/>
        <w:jc w:val="center"/>
        <w:rPr>
          <w:color w:val="0E101A"/>
        </w:rPr>
      </w:pPr>
      <w:r>
        <w:rPr>
          <w:color w:val="0E101A"/>
        </w:rPr>
        <w:lastRenderedPageBreak/>
        <w:t>Taxation</w:t>
      </w:r>
    </w:p>
    <w:p w:rsidR="00CF00C0" w:rsidRPr="00D359B3" w:rsidRDefault="00CF00C0" w:rsidP="0084428E">
      <w:pPr>
        <w:pStyle w:val="NormalWeb"/>
        <w:spacing w:before="0" w:beforeAutospacing="0" w:after="0" w:afterAutospacing="0" w:line="480" w:lineRule="auto"/>
        <w:rPr>
          <w:b/>
          <w:color w:val="0E101A"/>
        </w:rPr>
      </w:pPr>
      <w:r w:rsidRPr="00D359B3">
        <w:rPr>
          <w:b/>
          <w:color w:val="0E101A"/>
        </w:rPr>
        <w:t>A discussion on several other purposes of taxation and how the government might</w:t>
      </w:r>
      <w:r w:rsidR="00D359B3" w:rsidRPr="00D359B3">
        <w:rPr>
          <w:b/>
          <w:color w:val="0E101A"/>
        </w:rPr>
        <w:t xml:space="preserve"> use</w:t>
      </w:r>
      <w:r w:rsidRPr="00D359B3">
        <w:rPr>
          <w:b/>
          <w:color w:val="0E101A"/>
        </w:rPr>
        <w:t xml:space="preserve"> it to foster economic growth.</w:t>
      </w:r>
    </w:p>
    <w:p w:rsidR="00CF00C0" w:rsidRDefault="00CF00C0" w:rsidP="0084428E">
      <w:pPr>
        <w:pStyle w:val="NormalWeb"/>
        <w:spacing w:before="0" w:beforeAutospacing="0" w:after="0" w:afterAutospacing="0" w:line="480" w:lineRule="auto"/>
        <w:ind w:firstLine="720"/>
        <w:rPr>
          <w:color w:val="0E101A"/>
        </w:rPr>
      </w:pPr>
      <w:r>
        <w:rPr>
          <w:color w:val="0E101A"/>
        </w:rPr>
        <w:t>Taxation enables equality among the citizens, ensures an increase in employment, and allows the stabilization of commodities in the market and achieving an objective that’s not based on revenue (Smith, 2015). Equality is ensured when the taxes are equally distributed in developments curbing discrimination in wealth distribution. Taxations enable demand rise in the industries since the reduction of taxes provides more income to the sectors, allowing them to hire more staff to deliver their services and products. Lowering taxes enables industries and products to have high demand, enticing investors, who create employment and increase taxes. Stabilizing commodities price is done through taxes increases, exerting pressure on private sectors; hence spending reduces. When the private sector is controlled, competition in the market for products is reduced. Additionally, taxation enables the government to distribute wealth and resources equally by targeting the rich and taxing them more than the poor.</w:t>
      </w:r>
    </w:p>
    <w:p w:rsidR="00CF00C0" w:rsidRPr="00D359B3" w:rsidRDefault="00CF00C0" w:rsidP="0084428E">
      <w:pPr>
        <w:pStyle w:val="NormalWeb"/>
        <w:spacing w:before="0" w:beforeAutospacing="0" w:after="0" w:afterAutospacing="0" w:line="480" w:lineRule="auto"/>
        <w:rPr>
          <w:b/>
          <w:color w:val="0E101A"/>
        </w:rPr>
      </w:pPr>
      <w:r w:rsidRPr="00D359B3">
        <w:rPr>
          <w:b/>
          <w:color w:val="0E101A"/>
        </w:rPr>
        <w:t>What is the difference between a tax deduction and a tax credit?</w:t>
      </w:r>
    </w:p>
    <w:p w:rsidR="00CF00C0" w:rsidRPr="00D359B3" w:rsidRDefault="0084428E" w:rsidP="0084428E">
      <w:pPr>
        <w:pStyle w:val="NormalWeb"/>
        <w:spacing w:before="0" w:beforeAutospacing="0" w:after="0" w:afterAutospacing="0" w:line="480" w:lineRule="auto"/>
        <w:rPr>
          <w:b/>
          <w:color w:val="0E101A"/>
        </w:rPr>
      </w:pPr>
      <w:r w:rsidRPr="00D359B3">
        <w:rPr>
          <w:b/>
          <w:color w:val="0E101A"/>
        </w:rPr>
        <w:t>Tax deductions</w:t>
      </w:r>
    </w:p>
    <w:p w:rsidR="00CF00C0" w:rsidRDefault="00CF00C0" w:rsidP="0084428E">
      <w:pPr>
        <w:pStyle w:val="NormalWeb"/>
        <w:spacing w:before="0" w:beforeAutospacing="0" w:after="0" w:afterAutospacing="0" w:line="480" w:lineRule="auto"/>
        <w:ind w:firstLine="720"/>
        <w:rPr>
          <w:color w:val="0E101A"/>
        </w:rPr>
      </w:pPr>
      <w:r>
        <w:rPr>
          <w:color w:val="0E101A"/>
        </w:rPr>
        <w:t>Tax deductions deal with the income, enabling an individual to eliminate all deduction to get their final taxable income (</w:t>
      </w:r>
      <w:proofErr w:type="spellStart"/>
      <w:r>
        <w:rPr>
          <w:color w:val="0E101A"/>
        </w:rPr>
        <w:t>Zulliger</w:t>
      </w:r>
      <w:proofErr w:type="spellEnd"/>
      <w:r>
        <w:rPr>
          <w:color w:val="0E101A"/>
        </w:rPr>
        <w:t>, 2020). The deduction reduces the amount of tax an individual should pay to the government. The amount deducted highly depends on rates applied on the income, for tax payment. For instance, individuals with up to 25% tax rates enjoy the deduction more than others with a 5% rate. The strategy enables an individual to eliminate essential deductions like pension and healthcare.</w:t>
      </w:r>
    </w:p>
    <w:p w:rsidR="00CF00C0" w:rsidRPr="00D359B3" w:rsidRDefault="0084428E" w:rsidP="0084428E">
      <w:pPr>
        <w:pStyle w:val="NormalWeb"/>
        <w:spacing w:before="0" w:beforeAutospacing="0" w:after="0" w:afterAutospacing="0" w:line="480" w:lineRule="auto"/>
        <w:rPr>
          <w:b/>
          <w:color w:val="0E101A"/>
        </w:rPr>
      </w:pPr>
      <w:r w:rsidRPr="00D359B3">
        <w:rPr>
          <w:b/>
          <w:color w:val="0E101A"/>
        </w:rPr>
        <w:t>Tax credit</w:t>
      </w:r>
    </w:p>
    <w:p w:rsidR="00CF00C0" w:rsidRDefault="00CF00C0" w:rsidP="0084428E">
      <w:pPr>
        <w:pStyle w:val="NormalWeb"/>
        <w:spacing w:before="0" w:beforeAutospacing="0" w:after="0" w:afterAutospacing="0" w:line="480" w:lineRule="auto"/>
        <w:ind w:firstLine="720"/>
        <w:rPr>
          <w:color w:val="0E101A"/>
        </w:rPr>
      </w:pPr>
      <w:r>
        <w:rPr>
          <w:color w:val="0E101A"/>
        </w:rPr>
        <w:lastRenderedPageBreak/>
        <w:t>Tax credits are subtractions made on the withstanding taxes an individual owes the government. For instance, if an individual has a tax credit of $20 and their taxes equals $40, the tax credit will reduce their burden to $20. An example of a refundable charge is the expenses incurred for medication during the work period. Non-refundable charges include donations from charity drive, education fee, and the passes offered during the transport of an employee.</w:t>
      </w:r>
    </w:p>
    <w:p w:rsidR="00CF00C0" w:rsidRPr="00D359B3" w:rsidRDefault="00CF00C0" w:rsidP="0084428E">
      <w:pPr>
        <w:pStyle w:val="NormalWeb"/>
        <w:spacing w:before="0" w:beforeAutospacing="0" w:after="0" w:afterAutospacing="0" w:line="480" w:lineRule="auto"/>
        <w:rPr>
          <w:b/>
          <w:color w:val="0E101A"/>
        </w:rPr>
      </w:pPr>
      <w:r>
        <w:rPr>
          <w:color w:val="0E101A"/>
        </w:rPr>
        <w:t> </w:t>
      </w:r>
      <w:r w:rsidRPr="00D359B3">
        <w:rPr>
          <w:b/>
          <w:color w:val="0E101A"/>
        </w:rPr>
        <w:t>Describe how they reduce a taxpayer’s tax liability.</w:t>
      </w:r>
    </w:p>
    <w:p w:rsidR="00CF00C0" w:rsidRDefault="008F7157" w:rsidP="0084428E">
      <w:pPr>
        <w:pStyle w:val="NormalWeb"/>
        <w:spacing w:before="0" w:beforeAutospacing="0" w:after="0" w:afterAutospacing="0" w:line="480" w:lineRule="auto"/>
        <w:ind w:firstLine="720"/>
        <w:rPr>
          <w:color w:val="0E101A"/>
        </w:rPr>
      </w:pPr>
      <w:r>
        <w:rPr>
          <w:color w:val="0E101A"/>
        </w:rPr>
        <w:t xml:space="preserve">Donations, </w:t>
      </w:r>
      <w:r w:rsidR="006B7774">
        <w:rPr>
          <w:color w:val="0E101A"/>
        </w:rPr>
        <w:t>contributing significantly</w:t>
      </w:r>
      <w:r w:rsidR="00CF00C0">
        <w:rPr>
          <w:color w:val="0E101A"/>
        </w:rPr>
        <w:t xml:space="preserve"> to retirement plans from an e</w:t>
      </w:r>
      <w:r>
        <w:rPr>
          <w:color w:val="0E101A"/>
        </w:rPr>
        <w:t xml:space="preserve">mployer, auctioning businesses </w:t>
      </w:r>
      <w:r w:rsidR="00CF00C0">
        <w:rPr>
          <w:color w:val="0E101A"/>
        </w:rPr>
        <w:t xml:space="preserve">and goods that have depreciated and providing to sponsored programs initiated by an employer </w:t>
      </w:r>
      <w:r>
        <w:rPr>
          <w:color w:val="0E101A"/>
        </w:rPr>
        <w:t xml:space="preserve">reduces taxes </w:t>
      </w:r>
      <w:r w:rsidR="00CF00C0">
        <w:rPr>
          <w:color w:val="0E101A"/>
        </w:rPr>
        <w:t xml:space="preserve">(Horton, 2020). Donations can be included in a tax deduction strategy, whether done through goods or cash. Additionally, involvement in contributing to retirement programs enables that gross income reduces reducing the tax. Before the retirement age, an individual can participate in pension plans, initiated as a </w:t>
      </w:r>
      <w:r w:rsidR="00D359B3">
        <w:rPr>
          <w:color w:val="0E101A"/>
        </w:rPr>
        <w:t>check off</w:t>
      </w:r>
      <w:r w:rsidR="00CF00C0">
        <w:rPr>
          <w:color w:val="0E101A"/>
        </w:rPr>
        <w:t xml:space="preserve"> system. In case of the existence of goods that have depreciated, selling them enables tax reduction, with the gains from the assets being taken as tax credits, useful in tax reduction on other years. Contributing to sponsored programs ensures a reduction of income, reducing tax deductions.</w:t>
      </w:r>
    </w:p>
    <w:p w:rsidR="00D359B3" w:rsidRDefault="00D359B3" w:rsidP="00D359B3">
      <w:pPr>
        <w:pStyle w:val="NormalWeb"/>
        <w:spacing w:before="0" w:beforeAutospacing="0" w:after="0" w:afterAutospacing="0" w:line="480" w:lineRule="auto"/>
        <w:jc w:val="both"/>
        <w:rPr>
          <w:color w:val="0E101A"/>
        </w:rPr>
      </w:pPr>
    </w:p>
    <w:p w:rsidR="0084428E" w:rsidRDefault="0084428E">
      <w:pPr>
        <w:rPr>
          <w:rFonts w:ascii="Times New Roman" w:eastAsia="Times New Roman" w:hAnsi="Times New Roman" w:cs="Times New Roman"/>
          <w:color w:val="0E101A"/>
          <w:sz w:val="24"/>
          <w:szCs w:val="24"/>
          <w:lang w:eastAsia="en-GB"/>
        </w:rPr>
      </w:pPr>
      <w:r>
        <w:rPr>
          <w:color w:val="0E101A"/>
        </w:rPr>
        <w:br w:type="page"/>
      </w:r>
    </w:p>
    <w:p w:rsidR="00D359B3" w:rsidRDefault="00CF00C0" w:rsidP="00D359B3">
      <w:pPr>
        <w:pStyle w:val="NormalWeb"/>
        <w:spacing w:before="0" w:beforeAutospacing="0" w:after="0" w:afterAutospacing="0" w:line="480" w:lineRule="auto"/>
        <w:jc w:val="center"/>
        <w:rPr>
          <w:color w:val="0E101A"/>
        </w:rPr>
      </w:pPr>
      <w:r>
        <w:rPr>
          <w:color w:val="0E101A"/>
        </w:rPr>
        <w:lastRenderedPageBreak/>
        <w:t>References</w:t>
      </w:r>
    </w:p>
    <w:p w:rsidR="00D359B3" w:rsidRDefault="00D359B3" w:rsidP="00D359B3">
      <w:pPr>
        <w:pStyle w:val="NormalWeb"/>
        <w:spacing w:before="0" w:beforeAutospacing="0" w:after="0" w:afterAutospacing="0" w:line="480" w:lineRule="auto"/>
        <w:ind w:left="720" w:hanging="720"/>
        <w:jc w:val="both"/>
        <w:rPr>
          <w:color w:val="0E101A"/>
        </w:rPr>
      </w:pPr>
      <w:r>
        <w:rPr>
          <w:color w:val="0E101A"/>
        </w:rPr>
        <w:t xml:space="preserve">Laura </w:t>
      </w:r>
      <w:proofErr w:type="spellStart"/>
      <w:r>
        <w:rPr>
          <w:color w:val="0E101A"/>
        </w:rPr>
        <w:t>Zulliger</w:t>
      </w:r>
      <w:proofErr w:type="spellEnd"/>
      <w:r>
        <w:rPr>
          <w:color w:val="0E101A"/>
        </w:rPr>
        <w:t xml:space="preserve"> (2020) Tax Deductions vs. tax credits: what’s the difference? </w:t>
      </w:r>
      <w:r>
        <w:rPr>
          <w:rStyle w:val="Emphasis"/>
          <w:color w:val="0E101A"/>
        </w:rPr>
        <w:t>Credit Karma</w:t>
      </w:r>
      <w:r>
        <w:rPr>
          <w:color w:val="0E101A"/>
        </w:rPr>
        <w:t> Retrieved from </w:t>
      </w:r>
      <w:hyperlink r:id="rId6" w:tgtFrame="_blank" w:history="1">
        <w:r>
          <w:rPr>
            <w:rStyle w:val="Hyperlink"/>
            <w:color w:val="4A6EE0"/>
          </w:rPr>
          <w:t>https://www.creditkarma.com/tax/i/tax-deduction-and-tax-credit</w:t>
        </w:r>
      </w:hyperlink>
    </w:p>
    <w:p w:rsidR="00D359B3" w:rsidRDefault="00D359B3" w:rsidP="00D359B3">
      <w:pPr>
        <w:pStyle w:val="NormalWeb"/>
        <w:spacing w:before="0" w:beforeAutospacing="0" w:after="0" w:afterAutospacing="0" w:line="480" w:lineRule="auto"/>
        <w:ind w:left="720" w:hanging="720"/>
        <w:jc w:val="both"/>
        <w:rPr>
          <w:color w:val="0E101A"/>
        </w:rPr>
      </w:pPr>
      <w:r>
        <w:rPr>
          <w:color w:val="0E101A"/>
        </w:rPr>
        <w:t>Melissa Horton(2020) What are some ways to minimize tax liability </w:t>
      </w:r>
      <w:r>
        <w:rPr>
          <w:rStyle w:val="Emphasis"/>
          <w:color w:val="0E101A"/>
        </w:rPr>
        <w:t>Investopedia</w:t>
      </w:r>
      <w:r>
        <w:rPr>
          <w:color w:val="0E101A"/>
        </w:rPr>
        <w:t> Retrieved from </w:t>
      </w:r>
      <w:hyperlink r:id="rId7" w:tgtFrame="_blank" w:history="1">
        <w:r>
          <w:rPr>
            <w:rStyle w:val="Hyperlink"/>
            <w:color w:val="4A6EE0"/>
          </w:rPr>
          <w:t>https://www.investopedia.com/ask/answers/040715/what-are-some-ways-minimize-tax-liability.asp</w:t>
        </w:r>
      </w:hyperlink>
    </w:p>
    <w:p w:rsidR="00D359B3" w:rsidRDefault="00D359B3" w:rsidP="00D359B3">
      <w:pPr>
        <w:pStyle w:val="NormalWeb"/>
        <w:spacing w:before="0" w:beforeAutospacing="0" w:after="0" w:afterAutospacing="0" w:line="480" w:lineRule="auto"/>
        <w:ind w:left="720" w:hanging="720"/>
        <w:jc w:val="both"/>
        <w:rPr>
          <w:color w:val="0E101A"/>
        </w:rPr>
      </w:pPr>
      <w:r>
        <w:rPr>
          <w:color w:val="0E101A"/>
        </w:rPr>
        <w:t>Smith, S. (2015). </w:t>
      </w:r>
      <w:r>
        <w:rPr>
          <w:rStyle w:val="Emphasis"/>
          <w:color w:val="0E101A"/>
        </w:rPr>
        <w:t>Taxation: a very short introduction</w:t>
      </w:r>
      <w:r>
        <w:rPr>
          <w:color w:val="0E101A"/>
        </w:rPr>
        <w:t> (Vol. 428). Oxford University Press, USA.</w:t>
      </w:r>
    </w:p>
    <w:p w:rsidR="00CF00C0" w:rsidRDefault="00CF00C0" w:rsidP="00D359B3">
      <w:pPr>
        <w:pStyle w:val="NormalWeb"/>
        <w:spacing w:before="0" w:beforeAutospacing="0" w:after="0" w:afterAutospacing="0" w:line="480" w:lineRule="auto"/>
        <w:jc w:val="both"/>
        <w:rPr>
          <w:color w:val="0E101A"/>
        </w:rPr>
      </w:pPr>
    </w:p>
    <w:p w:rsidR="00CF00C0" w:rsidRDefault="00CF00C0" w:rsidP="00D359B3">
      <w:pPr>
        <w:pStyle w:val="NormalWeb"/>
        <w:spacing w:before="0" w:beforeAutospacing="0" w:after="0" w:afterAutospacing="0" w:line="480" w:lineRule="auto"/>
        <w:jc w:val="both"/>
        <w:rPr>
          <w:color w:val="0E101A"/>
        </w:rPr>
      </w:pPr>
    </w:p>
    <w:p w:rsidR="00CF00C0" w:rsidRDefault="00CF00C0" w:rsidP="00D359B3">
      <w:pPr>
        <w:pStyle w:val="NormalWeb"/>
        <w:spacing w:before="0" w:beforeAutospacing="0" w:after="0" w:afterAutospacing="0" w:line="480" w:lineRule="auto"/>
        <w:jc w:val="both"/>
        <w:rPr>
          <w:color w:val="0E101A"/>
        </w:rPr>
      </w:pPr>
    </w:p>
    <w:p w:rsidR="00CF00C0" w:rsidRDefault="00CF00C0" w:rsidP="00D359B3">
      <w:pPr>
        <w:pStyle w:val="NormalWeb"/>
        <w:spacing w:before="0" w:beforeAutospacing="0" w:after="0" w:afterAutospacing="0" w:line="480" w:lineRule="auto"/>
        <w:jc w:val="both"/>
        <w:rPr>
          <w:color w:val="0E101A"/>
        </w:rPr>
      </w:pPr>
    </w:p>
    <w:p w:rsidR="00CF00C0" w:rsidRDefault="00CF00C0" w:rsidP="00D359B3">
      <w:pPr>
        <w:pStyle w:val="NormalWeb"/>
        <w:spacing w:before="0" w:beforeAutospacing="0" w:after="0" w:afterAutospacing="0" w:line="480" w:lineRule="auto"/>
        <w:jc w:val="both"/>
        <w:rPr>
          <w:color w:val="0E101A"/>
        </w:rPr>
      </w:pPr>
    </w:p>
    <w:p w:rsidR="00CF00C0" w:rsidRDefault="00CF00C0" w:rsidP="00D359B3">
      <w:pPr>
        <w:pStyle w:val="NormalWeb"/>
        <w:spacing w:before="0" w:beforeAutospacing="0" w:after="0" w:afterAutospacing="0" w:line="480" w:lineRule="auto"/>
        <w:jc w:val="both"/>
        <w:rPr>
          <w:color w:val="0E101A"/>
        </w:rPr>
      </w:pPr>
    </w:p>
    <w:p w:rsidR="00CF00C0" w:rsidRDefault="00CF00C0" w:rsidP="00D359B3">
      <w:pPr>
        <w:pStyle w:val="NormalWeb"/>
        <w:spacing w:before="0" w:beforeAutospacing="0" w:after="0" w:afterAutospacing="0" w:line="480" w:lineRule="auto"/>
        <w:jc w:val="both"/>
        <w:rPr>
          <w:color w:val="0E101A"/>
        </w:rPr>
      </w:pPr>
    </w:p>
    <w:p w:rsidR="00CF00C0" w:rsidRDefault="00CF00C0" w:rsidP="00D359B3">
      <w:pPr>
        <w:pStyle w:val="NormalWeb"/>
        <w:spacing w:before="0" w:beforeAutospacing="0" w:after="0" w:afterAutospacing="0" w:line="480" w:lineRule="auto"/>
        <w:jc w:val="both"/>
        <w:rPr>
          <w:color w:val="0E101A"/>
        </w:rPr>
      </w:pPr>
    </w:p>
    <w:p w:rsidR="00CF00C0" w:rsidRDefault="00CF00C0" w:rsidP="00D359B3">
      <w:pPr>
        <w:pStyle w:val="NormalWeb"/>
        <w:spacing w:before="0" w:beforeAutospacing="0" w:after="0" w:afterAutospacing="0" w:line="480" w:lineRule="auto"/>
        <w:jc w:val="both"/>
        <w:rPr>
          <w:color w:val="0E101A"/>
        </w:rPr>
      </w:pPr>
    </w:p>
    <w:p w:rsidR="009A2030" w:rsidRDefault="009A2030" w:rsidP="00D359B3">
      <w:pPr>
        <w:spacing w:line="480" w:lineRule="auto"/>
        <w:jc w:val="both"/>
      </w:pPr>
    </w:p>
    <w:sectPr w:rsidR="009A2030" w:rsidSect="00D359B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D35" w:rsidRDefault="00496D35" w:rsidP="00D359B3">
      <w:pPr>
        <w:spacing w:after="0" w:line="240" w:lineRule="auto"/>
      </w:pPr>
      <w:r>
        <w:separator/>
      </w:r>
    </w:p>
  </w:endnote>
  <w:endnote w:type="continuationSeparator" w:id="0">
    <w:p w:rsidR="00496D35" w:rsidRDefault="00496D35" w:rsidP="00D35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D35" w:rsidRDefault="00496D35" w:rsidP="00D359B3">
      <w:pPr>
        <w:spacing w:after="0" w:line="240" w:lineRule="auto"/>
      </w:pPr>
      <w:r>
        <w:separator/>
      </w:r>
    </w:p>
  </w:footnote>
  <w:footnote w:type="continuationSeparator" w:id="0">
    <w:p w:rsidR="00496D35" w:rsidRDefault="00496D35" w:rsidP="00D35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9B3" w:rsidRPr="00D359B3" w:rsidRDefault="00D359B3" w:rsidP="0084428E">
    <w:pPr>
      <w:pStyle w:val="Header"/>
      <w:spacing w:line="480" w:lineRule="auto"/>
      <w:rPr>
        <w:rFonts w:ascii="Times New Roman" w:hAnsi="Times New Roman" w:cs="Times New Roman"/>
        <w:sz w:val="24"/>
        <w:szCs w:val="24"/>
      </w:rPr>
    </w:pPr>
    <w:r w:rsidRPr="00D359B3">
      <w:rPr>
        <w:rFonts w:ascii="Times New Roman" w:hAnsi="Times New Roman" w:cs="Times New Roman"/>
        <w:sz w:val="24"/>
        <w:szCs w:val="24"/>
      </w:rPr>
      <w:t xml:space="preserve">TAXATION </w:t>
    </w:r>
    <w:r w:rsidR="0084428E">
      <w:rPr>
        <w:rFonts w:ascii="Times New Roman" w:hAnsi="Times New Roman" w:cs="Times New Roman"/>
        <w:sz w:val="24"/>
        <w:szCs w:val="24"/>
      </w:rPr>
      <w:tab/>
    </w:r>
    <w:r w:rsidR="0084428E">
      <w:rPr>
        <w:rFonts w:ascii="Times New Roman" w:hAnsi="Times New Roman" w:cs="Times New Roman"/>
        <w:sz w:val="24"/>
        <w:szCs w:val="24"/>
      </w:rPr>
      <w:tab/>
    </w:r>
    <w:r w:rsidR="0084428E" w:rsidRPr="0084428E">
      <w:rPr>
        <w:rFonts w:ascii="Times New Roman" w:hAnsi="Times New Roman" w:cs="Times New Roman"/>
        <w:sz w:val="24"/>
        <w:szCs w:val="24"/>
      </w:rPr>
      <w:fldChar w:fldCharType="begin"/>
    </w:r>
    <w:r w:rsidR="0084428E" w:rsidRPr="0084428E">
      <w:rPr>
        <w:rFonts w:ascii="Times New Roman" w:hAnsi="Times New Roman" w:cs="Times New Roman"/>
        <w:sz w:val="24"/>
        <w:szCs w:val="24"/>
      </w:rPr>
      <w:instrText xml:space="preserve"> PAGE   \* MERGEFORMAT </w:instrText>
    </w:r>
    <w:r w:rsidR="0084428E" w:rsidRPr="0084428E">
      <w:rPr>
        <w:rFonts w:ascii="Times New Roman" w:hAnsi="Times New Roman" w:cs="Times New Roman"/>
        <w:sz w:val="24"/>
        <w:szCs w:val="24"/>
      </w:rPr>
      <w:fldChar w:fldCharType="separate"/>
    </w:r>
    <w:r w:rsidR="0084428E">
      <w:rPr>
        <w:rFonts w:ascii="Times New Roman" w:hAnsi="Times New Roman" w:cs="Times New Roman"/>
        <w:noProof/>
        <w:sz w:val="24"/>
        <w:szCs w:val="24"/>
      </w:rPr>
      <w:t>2</w:t>
    </w:r>
    <w:r w:rsidR="0084428E" w:rsidRPr="0084428E">
      <w:rPr>
        <w:rFonts w:ascii="Times New Roman" w:hAnsi="Times New Roman" w:cs="Times New Roman"/>
        <w:noProof/>
        <w:sz w:val="24"/>
        <w:szCs w:val="24"/>
      </w:rPr>
      <w:fldChar w:fldCharType="end"/>
    </w:r>
  </w:p>
  <w:p w:rsidR="00D359B3" w:rsidRDefault="00D359B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9B3" w:rsidRPr="00D359B3" w:rsidRDefault="00D359B3" w:rsidP="00D359B3">
    <w:pPr>
      <w:pStyle w:val="Header"/>
      <w:spacing w:line="480" w:lineRule="auto"/>
      <w:rPr>
        <w:rFonts w:ascii="Times New Roman" w:hAnsi="Times New Roman" w:cs="Times New Roman"/>
        <w:sz w:val="24"/>
        <w:szCs w:val="24"/>
      </w:rPr>
    </w:pPr>
    <w:r w:rsidRPr="00D359B3">
      <w:rPr>
        <w:rFonts w:ascii="Times New Roman" w:hAnsi="Times New Roman" w:cs="Times New Roman"/>
        <w:sz w:val="24"/>
        <w:szCs w:val="24"/>
      </w:rPr>
      <w:t xml:space="preserve">Running Head: TAXATION </w:t>
    </w:r>
    <w:r w:rsidR="0084428E">
      <w:rPr>
        <w:rFonts w:ascii="Times New Roman" w:hAnsi="Times New Roman" w:cs="Times New Roman"/>
        <w:sz w:val="24"/>
        <w:szCs w:val="24"/>
      </w:rPr>
      <w:tab/>
    </w:r>
    <w:r w:rsidR="0084428E">
      <w:rPr>
        <w:rFonts w:ascii="Times New Roman" w:hAnsi="Times New Roman" w:cs="Times New Roman"/>
        <w:sz w:val="24"/>
        <w:szCs w:val="24"/>
      </w:rPr>
      <w:tab/>
    </w:r>
    <w:r w:rsidR="0084428E" w:rsidRPr="0084428E">
      <w:rPr>
        <w:rFonts w:ascii="Times New Roman" w:hAnsi="Times New Roman" w:cs="Times New Roman"/>
        <w:sz w:val="24"/>
        <w:szCs w:val="24"/>
      </w:rPr>
      <w:fldChar w:fldCharType="begin"/>
    </w:r>
    <w:r w:rsidR="0084428E" w:rsidRPr="0084428E">
      <w:rPr>
        <w:rFonts w:ascii="Times New Roman" w:hAnsi="Times New Roman" w:cs="Times New Roman"/>
        <w:sz w:val="24"/>
        <w:szCs w:val="24"/>
      </w:rPr>
      <w:instrText xml:space="preserve"> PAGE   \* MERGEFORMAT </w:instrText>
    </w:r>
    <w:r w:rsidR="0084428E" w:rsidRPr="0084428E">
      <w:rPr>
        <w:rFonts w:ascii="Times New Roman" w:hAnsi="Times New Roman" w:cs="Times New Roman"/>
        <w:sz w:val="24"/>
        <w:szCs w:val="24"/>
      </w:rPr>
      <w:fldChar w:fldCharType="separate"/>
    </w:r>
    <w:r w:rsidR="0084428E">
      <w:rPr>
        <w:rFonts w:ascii="Times New Roman" w:hAnsi="Times New Roman" w:cs="Times New Roman"/>
        <w:noProof/>
        <w:sz w:val="24"/>
        <w:szCs w:val="24"/>
      </w:rPr>
      <w:t>1</w:t>
    </w:r>
    <w:r w:rsidR="0084428E" w:rsidRPr="0084428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030"/>
    <w:rsid w:val="001250C1"/>
    <w:rsid w:val="002220EB"/>
    <w:rsid w:val="00366B9F"/>
    <w:rsid w:val="00496D35"/>
    <w:rsid w:val="005E6830"/>
    <w:rsid w:val="006B7774"/>
    <w:rsid w:val="0084428E"/>
    <w:rsid w:val="008C70B2"/>
    <w:rsid w:val="008F7157"/>
    <w:rsid w:val="009A2030"/>
    <w:rsid w:val="00AE484E"/>
    <w:rsid w:val="00C82758"/>
    <w:rsid w:val="00CF00C0"/>
    <w:rsid w:val="00D359B3"/>
    <w:rsid w:val="00D51F49"/>
    <w:rsid w:val="00F01089"/>
    <w:rsid w:val="00F45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AE04E"/>
  <w15:chartTrackingRefBased/>
  <w15:docId w15:val="{8A68B446-027A-4F25-88B9-B8C7E030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6B9F"/>
    <w:rPr>
      <w:color w:val="0000FF"/>
      <w:u w:val="single"/>
    </w:rPr>
  </w:style>
  <w:style w:type="paragraph" w:styleId="NormalWeb">
    <w:name w:val="Normal (Web)"/>
    <w:basedOn w:val="Normal"/>
    <w:uiPriority w:val="99"/>
    <w:semiHidden/>
    <w:unhideWhenUsed/>
    <w:rsid w:val="00CF00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F00C0"/>
    <w:rPr>
      <w:i/>
      <w:iCs/>
    </w:rPr>
  </w:style>
  <w:style w:type="paragraph" w:styleId="Header">
    <w:name w:val="header"/>
    <w:basedOn w:val="Normal"/>
    <w:link w:val="HeaderChar"/>
    <w:uiPriority w:val="99"/>
    <w:unhideWhenUsed/>
    <w:rsid w:val="00D359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59B3"/>
  </w:style>
  <w:style w:type="paragraph" w:styleId="Footer">
    <w:name w:val="footer"/>
    <w:basedOn w:val="Normal"/>
    <w:link w:val="FooterChar"/>
    <w:uiPriority w:val="99"/>
    <w:unhideWhenUsed/>
    <w:rsid w:val="00D359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5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98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vestopedia.com/ask/answers/040715/what-are-some-ways-minimize-tax-liability.as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reditkarma.com/tax/i/tax-deduction-and-tax-credi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2020-08-02T04:15:00Z</dcterms:created>
  <dcterms:modified xsi:type="dcterms:W3CDTF">2020-08-02T04:15:00Z</dcterms:modified>
</cp:coreProperties>
</file>