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C258D2">
      <w:pPr>
        <w:jc w:val="center"/>
        <w:rPr>
          <w:rFonts w:eastAsia="Calibri" w:cs="Times New Roman"/>
          <w:szCs w:val="24"/>
        </w:rPr>
      </w:pPr>
    </w:p>
    <w:p w:rsidR="00C258D2" w:rsidRDefault="006E7CFC">
      <w:pPr>
        <w:jc w:val="center"/>
        <w:rPr>
          <w:rFonts w:eastAsia="Calibri" w:cs="Times New Roman"/>
          <w:szCs w:val="24"/>
        </w:rPr>
      </w:pPr>
      <w:r>
        <w:rPr>
          <w:rFonts w:eastAsia="Calibri" w:cs="Times New Roman"/>
          <w:szCs w:val="24"/>
        </w:rPr>
        <w:t>Taxation</w:t>
      </w:r>
    </w:p>
    <w:p w:rsidR="00C258D2" w:rsidRDefault="00C258D2">
      <w:pPr>
        <w:jc w:val="center"/>
        <w:rPr>
          <w:rFonts w:eastAsia="Calibri" w:cs="Times New Roman"/>
          <w:szCs w:val="24"/>
        </w:rPr>
      </w:pPr>
    </w:p>
    <w:p w:rsidR="00C258D2" w:rsidRDefault="006E7CFC">
      <w:pPr>
        <w:jc w:val="center"/>
        <w:rPr>
          <w:rFonts w:eastAsia="Calibri" w:cs="Times New Roman"/>
          <w:szCs w:val="24"/>
        </w:rPr>
      </w:pPr>
      <w:r>
        <w:rPr>
          <w:rFonts w:eastAsia="Calibri" w:cs="Times New Roman"/>
          <w:szCs w:val="24"/>
        </w:rPr>
        <w:t>Student’s Name</w:t>
      </w:r>
    </w:p>
    <w:p w:rsidR="00C258D2" w:rsidRDefault="006E7CFC">
      <w:pPr>
        <w:jc w:val="center"/>
        <w:rPr>
          <w:rFonts w:eastAsia="Calibri" w:cs="Times New Roman"/>
          <w:szCs w:val="24"/>
        </w:rPr>
      </w:pPr>
      <w:r>
        <w:rPr>
          <w:rFonts w:eastAsia="Calibri" w:cs="Times New Roman"/>
          <w:szCs w:val="24"/>
        </w:rPr>
        <w:t>Institutional Affiliations</w:t>
      </w:r>
    </w:p>
    <w:p w:rsidR="00C258D2" w:rsidRDefault="006E7CFC">
      <w:pPr>
        <w:jc w:val="center"/>
        <w:rPr>
          <w:rFonts w:eastAsia="Calibri" w:cs="Times New Roman"/>
          <w:szCs w:val="24"/>
        </w:rPr>
      </w:pPr>
      <w:r>
        <w:rPr>
          <w:rFonts w:eastAsia="Calibri" w:cs="Times New Roman"/>
          <w:szCs w:val="24"/>
        </w:rPr>
        <w:t>Date</w:t>
      </w:r>
      <w:r>
        <w:rPr>
          <w:rFonts w:eastAsia="Calibri" w:cs="Times New Roman"/>
          <w:szCs w:val="24"/>
        </w:rPr>
        <w:br w:type="page"/>
      </w:r>
    </w:p>
    <w:p w:rsidR="00C258D2" w:rsidRDefault="006E7CFC">
      <w:pPr>
        <w:jc w:val="both"/>
        <w:rPr>
          <w:rFonts w:eastAsia="Calibri" w:cs="Times New Roman"/>
          <w:szCs w:val="24"/>
        </w:rPr>
      </w:pPr>
      <w:r>
        <w:rPr>
          <w:rFonts w:eastAsia="Calibri" w:cs="Times New Roman"/>
          <w:szCs w:val="24"/>
        </w:rPr>
        <w:lastRenderedPageBreak/>
        <w:t>To:Davy Jones</w:t>
      </w:r>
    </w:p>
    <w:p w:rsidR="00C258D2" w:rsidRDefault="006E7CFC">
      <w:pPr>
        <w:jc w:val="both"/>
        <w:rPr>
          <w:rFonts w:eastAsia="Calibri" w:cs="Times New Roman"/>
          <w:szCs w:val="24"/>
        </w:rPr>
      </w:pPr>
      <w:r>
        <w:rPr>
          <w:rFonts w:eastAsia="Calibri" w:cs="Times New Roman"/>
          <w:szCs w:val="24"/>
        </w:rPr>
        <w:t>From:</w:t>
      </w:r>
    </w:p>
    <w:p w:rsidR="00C258D2" w:rsidRDefault="006E7CFC">
      <w:pPr>
        <w:jc w:val="both"/>
        <w:rPr>
          <w:rFonts w:eastAsia="Calibri" w:cs="Times New Roman"/>
          <w:szCs w:val="24"/>
        </w:rPr>
      </w:pPr>
      <w:r>
        <w:rPr>
          <w:rFonts w:eastAsia="Calibri" w:cs="Times New Roman"/>
          <w:szCs w:val="24"/>
        </w:rPr>
        <w:t>Cc:</w:t>
      </w:r>
    </w:p>
    <w:p w:rsidR="00C258D2" w:rsidRDefault="006E7CFC">
      <w:pPr>
        <w:jc w:val="both"/>
        <w:rPr>
          <w:rFonts w:eastAsia="Calibri" w:cs="Times New Roman"/>
          <w:szCs w:val="24"/>
        </w:rPr>
      </w:pPr>
      <w:r>
        <w:rPr>
          <w:rFonts w:eastAsia="Calibri" w:cs="Times New Roman"/>
          <w:szCs w:val="24"/>
        </w:rPr>
        <w:t>Date:</w:t>
      </w:r>
    </w:p>
    <w:p w:rsidR="00C258D2" w:rsidRDefault="006E7CFC">
      <w:pPr>
        <w:jc w:val="both"/>
        <w:rPr>
          <w:rFonts w:eastAsia="Calibri" w:cs="Times New Roman"/>
          <w:szCs w:val="24"/>
        </w:rPr>
      </w:pPr>
      <w:r>
        <w:rPr>
          <w:rFonts w:eastAsia="Calibri" w:cs="Times New Roman"/>
          <w:szCs w:val="24"/>
        </w:rPr>
        <w:t xml:space="preserve">Subject: </w:t>
      </w:r>
      <w:r>
        <w:rPr>
          <w:rFonts w:eastAsia="Calibri" w:cs="Times New Roman"/>
          <w:b/>
          <w:bCs/>
          <w:szCs w:val="24"/>
        </w:rPr>
        <w:t>DIFFERENT LEGAL STRUCTURES AVAILABE FOR A BUSINESS</w:t>
      </w:r>
    </w:p>
    <w:p w:rsidR="00C258D2" w:rsidRDefault="006E7CFC">
      <w:pPr>
        <w:ind w:firstLine="720"/>
        <w:rPr>
          <w:rFonts w:eastAsia="Calibri" w:cs="Times New Roman"/>
          <w:color w:val="222222"/>
          <w:szCs w:val="24"/>
          <w:shd w:val="clear" w:color="auto" w:fill="FFFFFF"/>
        </w:rPr>
      </w:pPr>
      <w:r>
        <w:rPr>
          <w:rFonts w:eastAsia="Calibri" w:cs="Times New Roman"/>
          <w:szCs w:val="24"/>
        </w:rPr>
        <w:t>There are different forms of business structures. S</w:t>
      </w:r>
      <w:r>
        <w:rPr>
          <w:rFonts w:eastAsia="Calibri" w:cs="Times New Roman"/>
          <w:szCs w:val="24"/>
        </w:rPr>
        <w:t>ole proprietorship</w:t>
      </w:r>
      <w:r>
        <w:rPr>
          <w:rFonts w:eastAsia="Calibri" w:cs="Times New Roman"/>
          <w:szCs w:val="24"/>
        </w:rPr>
        <w:t xml:space="preserve"> is an example of</w:t>
      </w:r>
      <w:r>
        <w:rPr>
          <w:rFonts w:eastAsia="Calibri" w:cs="Times New Roman"/>
          <w:szCs w:val="24"/>
        </w:rPr>
        <w:t xml:space="preserve"> form of business whereby one person owns the business. </w:t>
      </w:r>
      <w:r w:rsidR="0055264F">
        <w:rPr>
          <w:rFonts w:eastAsia="Calibri" w:cs="Times New Roman"/>
          <w:szCs w:val="24"/>
        </w:rPr>
        <w:t>T</w:t>
      </w:r>
      <w:r>
        <w:rPr>
          <w:rFonts w:eastAsia="Calibri" w:cs="Times New Roman"/>
          <w:szCs w:val="24"/>
        </w:rPr>
        <w:t>he business owners are responsible for the liabilities incurred by the business in case the business fails to clear its debts. Other forms of business include the partn</w:t>
      </w:r>
      <w:r w:rsidR="0055264F">
        <w:rPr>
          <w:rFonts w:eastAsia="Calibri" w:cs="Times New Roman"/>
          <w:szCs w:val="24"/>
        </w:rPr>
        <w:t xml:space="preserve">ership which is </w:t>
      </w:r>
      <w:bookmarkStart w:id="0" w:name="_GoBack"/>
      <w:bookmarkEnd w:id="0"/>
      <w:r>
        <w:rPr>
          <w:rFonts w:eastAsia="Calibri" w:cs="Times New Roman"/>
          <w:szCs w:val="24"/>
        </w:rPr>
        <w:t>formed by a minimum of two members and a maximum of twenty members. The partners are liable for the liabilities that the organization may incur if it fails to clear its debts</w:t>
      </w:r>
      <w:r>
        <w:rPr>
          <w:rFonts w:eastAsia="Calibri" w:cs="Times New Roman"/>
          <w:color w:val="222222"/>
          <w:szCs w:val="24"/>
          <w:shd w:val="clear" w:color="auto" w:fill="FFFFFF"/>
        </w:rPr>
        <w:t xml:space="preserve"> (Hurt, 2018)</w:t>
      </w:r>
      <w:r>
        <w:rPr>
          <w:rFonts w:eastAsia="Calibri" w:cs="Times New Roman"/>
          <w:szCs w:val="24"/>
        </w:rPr>
        <w:t>. The S corporation pro</w:t>
      </w:r>
      <w:r>
        <w:rPr>
          <w:rFonts w:eastAsia="Calibri" w:cs="Times New Roman"/>
          <w:szCs w:val="24"/>
        </w:rPr>
        <w:t>vides that the company should not have more than 100 shareholders while the c corporation does not restrict the number of members who can join the corporation.</w:t>
      </w:r>
    </w:p>
    <w:p w:rsidR="00C258D2" w:rsidRDefault="006E7CFC">
      <w:pPr>
        <w:ind w:firstLine="720"/>
        <w:rPr>
          <w:rFonts w:eastAsia="Calibri" w:cs="Times New Roman"/>
          <w:szCs w:val="24"/>
        </w:rPr>
      </w:pPr>
      <w:r>
        <w:rPr>
          <w:rFonts w:eastAsia="Calibri" w:cs="Times New Roman"/>
          <w:szCs w:val="24"/>
        </w:rPr>
        <w:t>Several advantages present in every form of the business unit. For example, in a sole proprietor</w:t>
      </w:r>
      <w:r>
        <w:rPr>
          <w:rFonts w:eastAsia="Calibri" w:cs="Times New Roman"/>
          <w:szCs w:val="24"/>
        </w:rPr>
        <w:t>ship, few legal requirements are required before starting the business. Further, the owners require relatively little capital to start the business. However, the sole proprietor's significant disadvantage is that the proprietor is often overworked. Additio</w:t>
      </w:r>
      <w:r>
        <w:rPr>
          <w:rFonts w:eastAsia="Calibri" w:cs="Times New Roman"/>
          <w:szCs w:val="24"/>
        </w:rPr>
        <w:t>nally, due to low consultation, the proprietor is likely to make poor decisions. The forms of taxation for this form of business are through filling the income tax returns. The taxation system for this type of business is not treated separately from the in</w:t>
      </w:r>
      <w:r>
        <w:rPr>
          <w:rFonts w:eastAsia="Calibri" w:cs="Times New Roman"/>
          <w:szCs w:val="24"/>
        </w:rPr>
        <w:t>dividual income tax and business.  The form filled in this case is the income tax return form. This system is called the pass-through system because the profit is taxed through the personal incomes of an individual.</w:t>
      </w:r>
    </w:p>
    <w:p w:rsidR="00C258D2" w:rsidRDefault="006E7CFC">
      <w:pPr>
        <w:ind w:firstLine="720"/>
        <w:rPr>
          <w:rFonts w:eastAsia="Calibri" w:cs="Times New Roman"/>
          <w:color w:val="222222"/>
          <w:szCs w:val="24"/>
          <w:shd w:val="clear" w:color="auto" w:fill="FFFFFF"/>
        </w:rPr>
      </w:pPr>
      <w:r>
        <w:rPr>
          <w:rFonts w:eastAsia="Calibri" w:cs="Times New Roman"/>
          <w:szCs w:val="24"/>
        </w:rPr>
        <w:lastRenderedPageBreak/>
        <w:t>The significant advantage of a partnersh</w:t>
      </w:r>
      <w:r>
        <w:rPr>
          <w:rFonts w:eastAsia="Calibri" w:cs="Times New Roman"/>
          <w:szCs w:val="24"/>
        </w:rPr>
        <w:t>ip is that there is a vast accumulation of capital to facilitate the efficient running of the business</w:t>
      </w:r>
      <w:r>
        <w:rPr>
          <w:rFonts w:eastAsia="Calibri" w:cs="Times New Roman"/>
          <w:color w:val="222222"/>
          <w:szCs w:val="24"/>
          <w:shd w:val="clear" w:color="auto" w:fill="FFFFFF"/>
        </w:rPr>
        <w:t xml:space="preserve"> (Donohoe, Lisowsky &amp; Mayberry, 2019)</w:t>
      </w:r>
      <w:r>
        <w:rPr>
          <w:rFonts w:eastAsia="Calibri" w:cs="Times New Roman"/>
          <w:szCs w:val="24"/>
        </w:rPr>
        <w:t>. Further, the partners bear the losses of the business. However, the major limitation of partnership for business is</w:t>
      </w:r>
      <w:r>
        <w:rPr>
          <w:rFonts w:eastAsia="Calibri" w:cs="Times New Roman"/>
          <w:szCs w:val="24"/>
        </w:rPr>
        <w:t xml:space="preserve"> slow decision making since for any decision to be made; the partners need to be consulted. Additionally, there is a reduced amount of profit enjoyed by an individual partner since the total profit has to be shared among the partners. The taxation system f</w:t>
      </w:r>
      <w:r>
        <w:rPr>
          <w:rFonts w:eastAsia="Calibri" w:cs="Times New Roman"/>
          <w:szCs w:val="24"/>
        </w:rPr>
        <w:t>or partners involves filling an annual taxation return. The partners file this form that incorporates taxable profits; then, the taxable profits are then passed through to the partners to their income, where they are taxed.</w:t>
      </w:r>
    </w:p>
    <w:p w:rsidR="00C258D2" w:rsidRDefault="006E7CFC">
      <w:pPr>
        <w:ind w:firstLine="720"/>
        <w:rPr>
          <w:rFonts w:eastAsia="Calibri" w:cs="Times New Roman"/>
          <w:color w:val="222222"/>
          <w:szCs w:val="24"/>
          <w:shd w:val="clear" w:color="auto" w:fill="FFFFFF"/>
        </w:rPr>
      </w:pPr>
      <w:r>
        <w:rPr>
          <w:rFonts w:eastAsia="Calibri" w:cs="Times New Roman"/>
          <w:szCs w:val="24"/>
        </w:rPr>
        <w:t>The significant advantage of s c</w:t>
      </w:r>
      <w:r>
        <w:rPr>
          <w:rFonts w:eastAsia="Calibri" w:cs="Times New Roman"/>
          <w:szCs w:val="24"/>
        </w:rPr>
        <w:t xml:space="preserve">orporate tax is that the shareholders are only taxed once since the dividends given to the tax have been withheld. Furthermore, the business has independent life from the company members, meaning that the members cannot be held liable for business losses. </w:t>
      </w:r>
      <w:r>
        <w:rPr>
          <w:rFonts w:eastAsia="Calibri" w:cs="Times New Roman"/>
          <w:szCs w:val="24"/>
        </w:rPr>
        <w:t xml:space="preserve">However, the s company experiences the extra cost of work that is required during the formation. The s corporation does not pay the federal tax </w:t>
      </w:r>
      <w:r w:rsidR="003A3835">
        <w:rPr>
          <w:rFonts w:eastAsia="Calibri" w:cs="Times New Roman"/>
          <w:szCs w:val="24"/>
        </w:rPr>
        <w:t>instead;</w:t>
      </w:r>
      <w:r>
        <w:rPr>
          <w:rFonts w:eastAsia="Calibri" w:cs="Times New Roman"/>
          <w:szCs w:val="24"/>
        </w:rPr>
        <w:t xml:space="preserve"> they are taxed according to the national government</w:t>
      </w:r>
      <w:r>
        <w:rPr>
          <w:rFonts w:eastAsia="Calibri" w:cs="Times New Roman"/>
          <w:color w:val="222222"/>
          <w:szCs w:val="24"/>
          <w:shd w:val="clear" w:color="auto" w:fill="FFFFFF"/>
        </w:rPr>
        <w:t xml:space="preserve"> (Cooper et al., 2016)</w:t>
      </w:r>
      <w:r>
        <w:rPr>
          <w:rFonts w:eastAsia="Calibri" w:cs="Times New Roman"/>
          <w:szCs w:val="24"/>
        </w:rPr>
        <w:t>. The c company enjoys similar</w:t>
      </w:r>
      <w:r>
        <w:rPr>
          <w:rFonts w:eastAsia="Calibri" w:cs="Times New Roman"/>
          <w:szCs w:val="24"/>
        </w:rPr>
        <w:t xml:space="preserve"> advantages only that c corporation tax is made through the corporation tax systems. Its advantages include that the owners enjoy limited liability, which means that the shareholders cannot pay the company's debts. The major disadvantage involves that ther</w:t>
      </w:r>
      <w:r>
        <w:rPr>
          <w:rFonts w:eastAsia="Calibri" w:cs="Times New Roman"/>
          <w:szCs w:val="24"/>
        </w:rPr>
        <w:t>e is it is costly to establish the form of business compared to other forms. The tax is collected through the corporate taxation system.</w:t>
      </w:r>
    </w:p>
    <w:p w:rsidR="00C258D2" w:rsidRDefault="006E7CFC">
      <w:pPr>
        <w:ind w:firstLine="720"/>
        <w:rPr>
          <w:rFonts w:eastAsia="Calibri" w:cs="Times New Roman"/>
          <w:szCs w:val="24"/>
        </w:rPr>
      </w:pPr>
      <w:r>
        <w:rPr>
          <w:rFonts w:eastAsia="Calibri" w:cs="Times New Roman"/>
          <w:szCs w:val="24"/>
        </w:rPr>
        <w:t>The forms used in taxation for sole proprietors’ ship and partners for collection form 1040 which is used to record the</w:t>
      </w:r>
      <w:r>
        <w:rPr>
          <w:rFonts w:eastAsia="Calibri" w:cs="Times New Roman"/>
          <w:szCs w:val="24"/>
        </w:rPr>
        <w:t xml:space="preserve"> profits made by the business. On the other hand, the S </w:t>
      </w:r>
      <w:r>
        <w:rPr>
          <w:rFonts w:eastAsia="Calibri" w:cs="Times New Roman"/>
          <w:szCs w:val="24"/>
        </w:rPr>
        <w:lastRenderedPageBreak/>
        <w:t>corporation uses 1120s</w:t>
      </w:r>
      <w:r>
        <w:rPr>
          <w:rFonts w:eastAsia="Calibri" w:cs="Times New Roman"/>
          <w:szCs w:val="24"/>
        </w:rPr>
        <w:t xml:space="preserve"> </w:t>
      </w:r>
      <w:r>
        <w:rPr>
          <w:rFonts w:eastAsia="Calibri" w:cs="Times New Roman"/>
          <w:szCs w:val="24"/>
        </w:rPr>
        <w:t>for tax purposes. The c corporations use forms 1120 and aa2oW for taxation purposes.</w:t>
      </w: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C258D2">
      <w:pPr>
        <w:rPr>
          <w:rFonts w:eastAsia="Calibri" w:cs="Times New Roman"/>
          <w:szCs w:val="24"/>
        </w:rPr>
      </w:pPr>
    </w:p>
    <w:p w:rsidR="00C258D2" w:rsidRDefault="006E7CFC">
      <w:pPr>
        <w:jc w:val="center"/>
        <w:rPr>
          <w:rFonts w:eastAsia="Calibri" w:cs="Times New Roman"/>
          <w:b/>
          <w:bCs/>
          <w:szCs w:val="24"/>
        </w:rPr>
      </w:pPr>
      <w:r>
        <w:rPr>
          <w:rFonts w:eastAsia="Calibri" w:cs="Times New Roman"/>
          <w:b/>
          <w:bCs/>
          <w:szCs w:val="24"/>
        </w:rPr>
        <w:t>References</w:t>
      </w:r>
    </w:p>
    <w:p w:rsidR="00C258D2" w:rsidRDefault="006E7CFC">
      <w:pPr>
        <w:ind w:left="720" w:hanging="720"/>
        <w:rPr>
          <w:rFonts w:eastAsia="Calibri" w:cs="Times New Roman"/>
          <w:color w:val="222222"/>
          <w:szCs w:val="24"/>
          <w:shd w:val="clear" w:color="auto" w:fill="FFFFFF"/>
        </w:rPr>
      </w:pPr>
      <w:r>
        <w:rPr>
          <w:rFonts w:eastAsia="Calibri" w:cs="Times New Roman"/>
          <w:color w:val="222222"/>
          <w:szCs w:val="24"/>
          <w:shd w:val="clear" w:color="auto" w:fill="FFFFFF"/>
        </w:rPr>
        <w:lastRenderedPageBreak/>
        <w:t xml:space="preserve">Cooper, M., McClelland, J., Pearce, J., Prisinzano, R., Sullivan, </w:t>
      </w:r>
      <w:r>
        <w:rPr>
          <w:rFonts w:eastAsia="Calibri" w:cs="Times New Roman"/>
          <w:color w:val="222222"/>
          <w:szCs w:val="24"/>
          <w:shd w:val="clear" w:color="auto" w:fill="FFFFFF"/>
        </w:rPr>
        <w:t>J., Yagan, D., ... &amp; Zwick, E. (2016). Business in the United States: Whom Owns It, and How Much Tax Do They Pay?. </w:t>
      </w:r>
      <w:r>
        <w:rPr>
          <w:rFonts w:eastAsia="Calibri" w:cs="Times New Roman"/>
          <w:i/>
          <w:iCs/>
          <w:color w:val="222222"/>
          <w:szCs w:val="24"/>
          <w:shd w:val="clear" w:color="auto" w:fill="FFFFFF"/>
        </w:rPr>
        <w:t>Tax Policy and the Economy</w:t>
      </w:r>
      <w:r>
        <w:rPr>
          <w:rFonts w:eastAsia="Calibri" w:cs="Times New Roman"/>
          <w:color w:val="222222"/>
          <w:szCs w:val="24"/>
          <w:shd w:val="clear" w:color="auto" w:fill="FFFFFF"/>
        </w:rPr>
        <w:t>, </w:t>
      </w:r>
      <w:r>
        <w:rPr>
          <w:rFonts w:eastAsia="Calibri" w:cs="Times New Roman"/>
          <w:i/>
          <w:iCs/>
          <w:color w:val="222222"/>
          <w:szCs w:val="24"/>
          <w:shd w:val="clear" w:color="auto" w:fill="FFFFFF"/>
        </w:rPr>
        <w:t>30</w:t>
      </w:r>
      <w:r>
        <w:rPr>
          <w:rFonts w:eastAsia="Calibri" w:cs="Times New Roman"/>
          <w:color w:val="222222"/>
          <w:szCs w:val="24"/>
          <w:shd w:val="clear" w:color="auto" w:fill="FFFFFF"/>
        </w:rPr>
        <w:t>(1), 91-128.</w:t>
      </w:r>
    </w:p>
    <w:p w:rsidR="00C258D2" w:rsidRDefault="006E7CFC">
      <w:pPr>
        <w:ind w:left="720" w:hanging="720"/>
        <w:rPr>
          <w:rFonts w:eastAsia="Calibri" w:cs="Times New Roman"/>
          <w:color w:val="222222"/>
          <w:szCs w:val="24"/>
          <w:shd w:val="clear" w:color="auto" w:fill="FFFFFF"/>
        </w:rPr>
      </w:pPr>
      <w:r>
        <w:rPr>
          <w:rFonts w:eastAsia="Calibri" w:cs="Times New Roman"/>
          <w:color w:val="222222"/>
          <w:szCs w:val="24"/>
          <w:shd w:val="clear" w:color="auto" w:fill="FFFFFF"/>
        </w:rPr>
        <w:t xml:space="preserve">Donohoe, M. P., Lisowsky, P., &amp; Mayberry, M. A. (2019). The effects of competition from S </w:t>
      </w:r>
      <w:r>
        <w:rPr>
          <w:rFonts w:eastAsia="Calibri" w:cs="Times New Roman"/>
          <w:color w:val="222222"/>
          <w:szCs w:val="24"/>
          <w:shd w:val="clear" w:color="auto" w:fill="FFFFFF"/>
        </w:rPr>
        <w:t>corporations on the organizational form choice of rival C corporations. </w:t>
      </w:r>
      <w:r>
        <w:rPr>
          <w:rFonts w:eastAsia="Calibri" w:cs="Times New Roman"/>
          <w:i/>
          <w:iCs/>
          <w:color w:val="222222"/>
          <w:szCs w:val="24"/>
          <w:shd w:val="clear" w:color="auto" w:fill="FFFFFF"/>
        </w:rPr>
        <w:t>Contemporary Accounting Research</w:t>
      </w:r>
      <w:r>
        <w:rPr>
          <w:rFonts w:eastAsia="Calibri" w:cs="Times New Roman"/>
          <w:color w:val="222222"/>
          <w:szCs w:val="24"/>
          <w:shd w:val="clear" w:color="auto" w:fill="FFFFFF"/>
        </w:rPr>
        <w:t>, </w:t>
      </w:r>
      <w:r>
        <w:rPr>
          <w:rFonts w:eastAsia="Calibri" w:cs="Times New Roman"/>
          <w:i/>
          <w:iCs/>
          <w:color w:val="222222"/>
          <w:szCs w:val="24"/>
          <w:shd w:val="clear" w:color="auto" w:fill="FFFFFF"/>
        </w:rPr>
        <w:t>36</w:t>
      </w:r>
      <w:r>
        <w:rPr>
          <w:rFonts w:eastAsia="Calibri" w:cs="Times New Roman"/>
          <w:color w:val="222222"/>
          <w:szCs w:val="24"/>
          <w:shd w:val="clear" w:color="auto" w:fill="FFFFFF"/>
        </w:rPr>
        <w:t>(3), 1784-1823.</w:t>
      </w:r>
    </w:p>
    <w:p w:rsidR="00C258D2" w:rsidRDefault="006E7CFC">
      <w:pPr>
        <w:ind w:left="720" w:hanging="720"/>
        <w:rPr>
          <w:rFonts w:eastAsia="Calibri" w:cs="Times New Roman"/>
          <w:color w:val="222222"/>
          <w:szCs w:val="24"/>
          <w:shd w:val="clear" w:color="auto" w:fill="FFFFFF"/>
        </w:rPr>
      </w:pPr>
      <w:r>
        <w:rPr>
          <w:rFonts w:eastAsia="Calibri" w:cs="Times New Roman"/>
          <w:color w:val="222222"/>
          <w:szCs w:val="24"/>
          <w:shd w:val="clear" w:color="auto" w:fill="FFFFFF"/>
        </w:rPr>
        <w:t>Hurt, C. (2018). Partnership Lost. </w:t>
      </w:r>
      <w:r>
        <w:rPr>
          <w:rFonts w:eastAsia="Calibri" w:cs="Times New Roman"/>
          <w:i/>
          <w:iCs/>
          <w:color w:val="222222"/>
          <w:szCs w:val="24"/>
          <w:shd w:val="clear" w:color="auto" w:fill="FFFFFF"/>
        </w:rPr>
        <w:t>U. Rich. L. Rev.</w:t>
      </w:r>
      <w:r>
        <w:rPr>
          <w:rFonts w:eastAsia="Calibri" w:cs="Times New Roman"/>
          <w:color w:val="222222"/>
          <w:szCs w:val="24"/>
          <w:shd w:val="clear" w:color="auto" w:fill="FFFFFF"/>
        </w:rPr>
        <w:t>, </w:t>
      </w:r>
      <w:r>
        <w:rPr>
          <w:rFonts w:eastAsia="Calibri" w:cs="Times New Roman"/>
          <w:i/>
          <w:iCs/>
          <w:color w:val="222222"/>
          <w:szCs w:val="24"/>
          <w:shd w:val="clear" w:color="auto" w:fill="FFFFFF"/>
        </w:rPr>
        <w:t>53</w:t>
      </w:r>
      <w:r>
        <w:rPr>
          <w:rFonts w:eastAsia="Calibri" w:cs="Times New Roman"/>
          <w:color w:val="222222"/>
          <w:szCs w:val="24"/>
          <w:shd w:val="clear" w:color="auto" w:fill="FFFFFF"/>
        </w:rPr>
        <w:t>, 491.</w:t>
      </w:r>
    </w:p>
    <w:p w:rsidR="00C258D2" w:rsidRDefault="006E7CFC">
      <w:pPr>
        <w:rPr>
          <w:rFonts w:eastAsia="Calibri" w:cs="Times New Roman"/>
          <w:szCs w:val="24"/>
        </w:rPr>
      </w:pPr>
      <w:r>
        <w:rPr>
          <w:rFonts w:eastAsia="Calibri" w:cs="Times New Roman"/>
          <w:color w:val="222222"/>
          <w:szCs w:val="24"/>
          <w:shd w:val="clear" w:color="auto" w:fill="FFFFFF"/>
        </w:rPr>
        <w:t>Looney, A., &amp; Krupkin, A. (2017). 9 Facts about Pass-through Businesse</w:t>
      </w:r>
      <w:r>
        <w:rPr>
          <w:rFonts w:eastAsia="Calibri" w:cs="Times New Roman"/>
          <w:color w:val="222222"/>
          <w:szCs w:val="24"/>
          <w:shd w:val="clear" w:color="auto" w:fill="FFFFFF"/>
        </w:rPr>
        <w:t>s. </w:t>
      </w:r>
      <w:r>
        <w:rPr>
          <w:rFonts w:eastAsia="Calibri" w:cs="Times New Roman"/>
          <w:i/>
          <w:iCs/>
          <w:color w:val="222222"/>
          <w:szCs w:val="24"/>
          <w:shd w:val="clear" w:color="auto" w:fill="FFFFFF"/>
        </w:rPr>
        <w:t>Tax Policy Center, May</w:t>
      </w:r>
      <w:r>
        <w:rPr>
          <w:rFonts w:eastAsia="Calibri" w:cs="Times New Roman"/>
          <w:color w:val="222222"/>
          <w:szCs w:val="24"/>
          <w:shd w:val="clear" w:color="auto" w:fill="FFFFFF"/>
        </w:rPr>
        <w:t xml:space="preserve"> </w:t>
      </w:r>
      <w:r>
        <w:rPr>
          <w:rFonts w:eastAsia="Calibri" w:cs="Times New Roman"/>
          <w:i/>
          <w:iCs/>
          <w:color w:val="222222"/>
          <w:szCs w:val="24"/>
          <w:shd w:val="clear" w:color="auto" w:fill="FFFFFF"/>
        </w:rPr>
        <w:t>15</w:t>
      </w:r>
      <w:r>
        <w:rPr>
          <w:rFonts w:eastAsia="Calibri" w:cs="Times New Roman"/>
          <w:color w:val="222222"/>
          <w:szCs w:val="24"/>
          <w:shd w:val="clear" w:color="auto" w:fill="FFFFFF"/>
        </w:rPr>
        <w:t>.</w:t>
      </w:r>
    </w:p>
    <w:p w:rsidR="00C258D2" w:rsidRDefault="00C258D2">
      <w:pPr>
        <w:rPr>
          <w:rFonts w:eastAsia="Calibri" w:cs="Times New Roman"/>
          <w:szCs w:val="24"/>
        </w:rPr>
      </w:pPr>
    </w:p>
    <w:sectPr w:rsidR="00C258D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FC" w:rsidRDefault="006E7CFC">
      <w:pPr>
        <w:spacing w:line="240" w:lineRule="auto"/>
      </w:pPr>
      <w:r>
        <w:separator/>
      </w:r>
    </w:p>
  </w:endnote>
  <w:endnote w:type="continuationSeparator" w:id="0">
    <w:p w:rsidR="006E7CFC" w:rsidRDefault="006E7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FC" w:rsidRDefault="006E7CFC">
      <w:pPr>
        <w:spacing w:after="0" w:line="240" w:lineRule="auto"/>
      </w:pPr>
      <w:r>
        <w:separator/>
      </w:r>
    </w:p>
  </w:footnote>
  <w:footnote w:type="continuationSeparator" w:id="0">
    <w:p w:rsidR="006E7CFC" w:rsidRDefault="006E7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857"/>
      <w:docPartObj>
        <w:docPartGallery w:val="AutoText"/>
      </w:docPartObj>
    </w:sdtPr>
    <w:sdtEndPr/>
    <w:sdtContent>
      <w:p w:rsidR="00C258D2" w:rsidRDefault="006E7CFC">
        <w:pPr>
          <w:pStyle w:val="Header"/>
          <w:jc w:val="right"/>
        </w:pPr>
        <w:r>
          <w:tab/>
        </w:r>
        <w:r>
          <w:tab/>
        </w:r>
        <w:r>
          <w:fldChar w:fldCharType="begin"/>
        </w:r>
        <w:r>
          <w:instrText xml:space="preserve"> PAGE   \* MERGEFORMAT </w:instrText>
        </w:r>
        <w:r>
          <w:fldChar w:fldCharType="separate"/>
        </w:r>
        <w:r w:rsidR="003A3835">
          <w:rPr>
            <w:noProof/>
          </w:rPr>
          <w:t>2</w:t>
        </w:r>
        <w:r>
          <w:fldChar w:fldCharType="end"/>
        </w:r>
      </w:p>
    </w:sdtContent>
  </w:sdt>
  <w:p w:rsidR="00C258D2" w:rsidRDefault="00C25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D2" w:rsidRDefault="0055264F" w:rsidP="0055264F">
    <w:pPr>
      <w:pStyle w:val="Header"/>
      <w:jc w:val="right"/>
    </w:pP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A8"/>
    <w:rsid w:val="001E10FC"/>
    <w:rsid w:val="002E5BDC"/>
    <w:rsid w:val="00300BA8"/>
    <w:rsid w:val="003A3835"/>
    <w:rsid w:val="0055264F"/>
    <w:rsid w:val="0062686C"/>
    <w:rsid w:val="006D26EE"/>
    <w:rsid w:val="006E7CFC"/>
    <w:rsid w:val="00760349"/>
    <w:rsid w:val="007B7B98"/>
    <w:rsid w:val="00AB7BDC"/>
    <w:rsid w:val="00C258D2"/>
    <w:rsid w:val="00C25CDB"/>
    <w:rsid w:val="00DA49BF"/>
    <w:rsid w:val="00E96F90"/>
    <w:rsid w:val="00F0575B"/>
    <w:rsid w:val="2A6F6C56"/>
    <w:rsid w:val="36FA39EA"/>
    <w:rsid w:val="59555651"/>
    <w:rsid w:val="7F54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3</cp:revision>
  <dcterms:created xsi:type="dcterms:W3CDTF">2021-05-25T20:01:00Z</dcterms:created>
  <dcterms:modified xsi:type="dcterms:W3CDTF">2021-05-26T00:43:00Z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