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535" w:rsidRDefault="007A4535">
      <w:pPr>
        <w:rPr>
          <w:rFonts w:ascii="Arial Unicode MS" w:eastAsia="Arial Unicode MS" w:hAnsi="Arial Unicode MS" w:cs="Arial Unicode MS"/>
          <w:color w:val="000000"/>
          <w:sz w:val="17"/>
          <w:szCs w:val="17"/>
          <w:shd w:val="clear" w:color="auto" w:fill="FFFFFF"/>
        </w:rPr>
      </w:pPr>
    </w:p>
    <w:p w:rsidR="007A4535" w:rsidRPr="007A4535" w:rsidRDefault="007A4535" w:rsidP="00312091">
      <w:pPr>
        <w:spacing w:line="48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Sources</w:t>
      </w:r>
      <w:bookmarkStart w:id="0" w:name="_GoBack"/>
      <w:bookmarkEnd w:id="0"/>
    </w:p>
    <w:p w:rsidR="00DB72A2" w:rsidRPr="007A4535" w:rsidRDefault="007A4535" w:rsidP="007A4535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Gandhi, S. G. (2007). </w:t>
      </w:r>
      <w:r w:rsidRPr="007A453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The effect of pulmonary edema fluid </w:t>
      </w:r>
      <w:proofErr w:type="spellStart"/>
      <w:r w:rsidRPr="007A453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on ion</w:t>
      </w:r>
      <w:proofErr w:type="spellEnd"/>
      <w:r w:rsidRPr="007A453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transport by adult alveolar type II epithelial cells</w:t>
      </w:r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A4535" w:rsidRPr="007A4535" w:rsidRDefault="007A4535" w:rsidP="007A4535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Chioncel</w:t>
      </w:r>
      <w:proofErr w:type="spell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O., </w:t>
      </w:r>
      <w:proofErr w:type="spell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Ambrosy</w:t>
      </w:r>
      <w:proofErr w:type="spell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A. P., </w:t>
      </w:r>
      <w:proofErr w:type="spell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Bubenek</w:t>
      </w:r>
      <w:proofErr w:type="spell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S., </w:t>
      </w:r>
      <w:proofErr w:type="spell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Filipescu</w:t>
      </w:r>
      <w:proofErr w:type="spell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D., </w:t>
      </w:r>
      <w:proofErr w:type="spell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Vinereanu</w:t>
      </w:r>
      <w:proofErr w:type="spell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D., </w:t>
      </w:r>
      <w:proofErr w:type="spell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Petris</w:t>
      </w:r>
      <w:proofErr w:type="spell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, A., </w:t>
      </w:r>
      <w:proofErr w:type="spell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Christodorescu</w:t>
      </w:r>
      <w:proofErr w:type="spell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, R</w:t>
      </w:r>
      <w:proofErr w:type="gramStart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., ...</w:t>
      </w:r>
      <w:proofErr w:type="gramEnd"/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Collins, S. P. (2016). </w:t>
      </w:r>
      <w:r w:rsidRPr="007A453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Epidemiology, pathophysiology, and in-hospital management of pulmonary edema</w:t>
      </w:r>
      <w:r w:rsidRPr="007A453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(Journal of cardiovascular medicine.</w:t>
      </w:r>
    </w:p>
    <w:p w:rsidR="007A4535" w:rsidRPr="007A4535" w:rsidRDefault="007A4535" w:rsidP="007A4535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Robin, E. D., Cross, C. E., &amp; </w:t>
      </w:r>
      <w:proofErr w:type="spellStart"/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Zelis</w:t>
      </w:r>
      <w:proofErr w:type="spellEnd"/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(1973). Pulmonary edema. </w:t>
      </w:r>
      <w:r w:rsidRPr="007A45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A45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288</w:t>
      </w: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292-304.</w:t>
      </w:r>
    </w:p>
    <w:p w:rsidR="007A4535" w:rsidRPr="007A4535" w:rsidRDefault="007A4535" w:rsidP="007A453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Heyland</w:t>
      </w:r>
      <w:proofErr w:type="spellEnd"/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K., MacDonald, S., Keefe, L., &amp; Drover, J. W. (1998). Total parenteral nutrition in the critically ill patient: a meta-analysis. </w:t>
      </w:r>
      <w:r w:rsidRPr="007A45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Jama</w:t>
      </w: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A45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280</w:t>
      </w: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(23), 2013-2019.</w:t>
      </w:r>
    </w:p>
    <w:p w:rsidR="007A4535" w:rsidRPr="007A4535" w:rsidRDefault="007A4535" w:rsidP="007A453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Sanders, R. A., &amp; Sheldon, G. F. (1976). Septic complications of total parenteral nutrition: a five year experience. </w:t>
      </w:r>
      <w:r w:rsidRPr="007A45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American Journal of Surgery</w:t>
      </w: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A453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132</w:t>
      </w:r>
      <w:r w:rsidRPr="007A453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214-220.</w:t>
      </w:r>
    </w:p>
    <w:p w:rsidR="007A4535" w:rsidRDefault="007A4535"/>
    <w:sectPr w:rsidR="007A4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35"/>
    <w:rsid w:val="00296484"/>
    <w:rsid w:val="00312091"/>
    <w:rsid w:val="007A4535"/>
    <w:rsid w:val="00D5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61F408-AE87-4F4C-8EBA-9C83A9C4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2018-08-01T20:59:00Z</dcterms:created>
  <dcterms:modified xsi:type="dcterms:W3CDTF">2018-08-01T21:10:00Z</dcterms:modified>
</cp:coreProperties>
</file>