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2C0F7" w14:textId="77777777" w:rsidR="00BE0129" w:rsidRPr="007E3C72" w:rsidRDefault="00BE0129" w:rsidP="00FB33F2">
      <w:pPr>
        <w:rPr>
          <w:bCs/>
        </w:rPr>
      </w:pPr>
    </w:p>
    <w:p w14:paraId="3C744EA9" w14:textId="5C89E2E8" w:rsidR="00BE0129" w:rsidRPr="00FB33F2" w:rsidRDefault="00491418" w:rsidP="007E3C72">
      <w:pPr>
        <w:jc w:val="center"/>
        <w:rPr>
          <w:b/>
          <w:bCs/>
        </w:rPr>
      </w:pPr>
      <w:r w:rsidRPr="00FB33F2">
        <w:rPr>
          <w:b/>
        </w:rPr>
        <w:t>Discussion: Rights and Responsibilities of Landlord and Tenant</w:t>
      </w:r>
    </w:p>
    <w:p w14:paraId="54FA6B1B" w14:textId="77777777" w:rsidR="00BE0129" w:rsidRPr="007E3C72" w:rsidRDefault="00BE0129" w:rsidP="007E3C72">
      <w:pPr>
        <w:jc w:val="center"/>
        <w:rPr>
          <w:bCs/>
        </w:rPr>
      </w:pPr>
    </w:p>
    <w:p w14:paraId="25EBD01D" w14:textId="20417FAD" w:rsidR="00BE0129" w:rsidRPr="007E3C72" w:rsidRDefault="00BE0129" w:rsidP="007E3C72">
      <w:pPr>
        <w:jc w:val="center"/>
        <w:rPr>
          <w:bCs/>
        </w:rPr>
      </w:pPr>
    </w:p>
    <w:p w14:paraId="0BCBCF51" w14:textId="24DD0422" w:rsidR="00BE0129" w:rsidRPr="007E3C72" w:rsidRDefault="00BE0129" w:rsidP="007E3C72">
      <w:pPr>
        <w:jc w:val="center"/>
        <w:rPr>
          <w:bCs/>
        </w:rPr>
      </w:pPr>
    </w:p>
    <w:p w14:paraId="4DF45E8C" w14:textId="77777777" w:rsidR="00BE0129" w:rsidRPr="007E3C72" w:rsidRDefault="00BE0129" w:rsidP="007E3C72">
      <w:pPr>
        <w:jc w:val="center"/>
        <w:rPr>
          <w:bCs/>
        </w:rPr>
      </w:pPr>
    </w:p>
    <w:p w14:paraId="629BB230" w14:textId="77777777" w:rsidR="00BE0129" w:rsidRPr="007E3C72" w:rsidRDefault="00BE0129" w:rsidP="007E3C72">
      <w:pPr>
        <w:jc w:val="center"/>
        <w:rPr>
          <w:bCs/>
        </w:rPr>
      </w:pPr>
    </w:p>
    <w:p w14:paraId="0A0FCA7C" w14:textId="77777777" w:rsidR="00BE0129" w:rsidRPr="007E3C72" w:rsidRDefault="00491418" w:rsidP="007E3C72">
      <w:pPr>
        <w:jc w:val="center"/>
        <w:rPr>
          <w:bCs/>
        </w:rPr>
      </w:pPr>
      <w:r w:rsidRPr="007E3C72">
        <w:t>Name</w:t>
      </w:r>
    </w:p>
    <w:p w14:paraId="1AD7B1DE" w14:textId="77777777" w:rsidR="00BE0129" w:rsidRPr="007E3C72" w:rsidRDefault="00491418" w:rsidP="007E3C72">
      <w:pPr>
        <w:jc w:val="center"/>
        <w:rPr>
          <w:bCs/>
        </w:rPr>
      </w:pPr>
      <w:r w:rsidRPr="007E3C72">
        <w:t>Institution of Affiliation</w:t>
      </w:r>
    </w:p>
    <w:p w14:paraId="5FCF5BAD" w14:textId="77777777" w:rsidR="00BE0129" w:rsidRPr="007E3C72" w:rsidRDefault="00491418" w:rsidP="007E3C72">
      <w:pPr>
        <w:jc w:val="center"/>
        <w:rPr>
          <w:bCs/>
        </w:rPr>
      </w:pPr>
      <w:r w:rsidRPr="007E3C72">
        <w:t>Professor</w:t>
      </w:r>
    </w:p>
    <w:p w14:paraId="30FCE75F" w14:textId="1139E3EB" w:rsidR="00BE0129" w:rsidRPr="007E3C72" w:rsidRDefault="00491418" w:rsidP="007E3C72">
      <w:pPr>
        <w:jc w:val="center"/>
        <w:rPr>
          <w:bCs/>
        </w:rPr>
      </w:pPr>
      <w:r w:rsidRPr="007E3C72">
        <w:t>Date</w:t>
      </w:r>
    </w:p>
    <w:p w14:paraId="74E95A5A" w14:textId="373C2070" w:rsidR="00BE0129" w:rsidRPr="007E3C72" w:rsidRDefault="00BE0129" w:rsidP="007E3C72">
      <w:pPr>
        <w:jc w:val="center"/>
        <w:rPr>
          <w:bCs/>
        </w:rPr>
      </w:pPr>
    </w:p>
    <w:p w14:paraId="18B53857" w14:textId="7B3F184D" w:rsidR="00BE0129" w:rsidRPr="007E3C72" w:rsidRDefault="00BE0129" w:rsidP="007E3C72">
      <w:pPr>
        <w:jc w:val="center"/>
        <w:rPr>
          <w:bCs/>
        </w:rPr>
      </w:pPr>
    </w:p>
    <w:p w14:paraId="3E9432BD" w14:textId="566B64BC" w:rsidR="00BE0129" w:rsidRPr="007E3C72" w:rsidRDefault="00BE0129" w:rsidP="007E3C72">
      <w:pPr>
        <w:jc w:val="center"/>
        <w:rPr>
          <w:bCs/>
        </w:rPr>
      </w:pPr>
    </w:p>
    <w:p w14:paraId="71046599" w14:textId="50BA8E99" w:rsidR="00BE0129" w:rsidRPr="007E3C72" w:rsidRDefault="00BE0129" w:rsidP="007E3C72">
      <w:pPr>
        <w:jc w:val="center"/>
        <w:rPr>
          <w:bCs/>
        </w:rPr>
      </w:pPr>
    </w:p>
    <w:p w14:paraId="1FFD72B4" w14:textId="5926252D" w:rsidR="00BE0129" w:rsidRPr="007E3C72" w:rsidRDefault="00BE0129" w:rsidP="007E3C72">
      <w:pPr>
        <w:jc w:val="center"/>
        <w:rPr>
          <w:bCs/>
        </w:rPr>
      </w:pPr>
    </w:p>
    <w:p w14:paraId="276D1B9F" w14:textId="1FC9684C" w:rsidR="00BE0129" w:rsidRPr="007E3C72" w:rsidRDefault="00BE0129" w:rsidP="007E3C72">
      <w:pPr>
        <w:jc w:val="center"/>
        <w:rPr>
          <w:bCs/>
        </w:rPr>
      </w:pPr>
    </w:p>
    <w:p w14:paraId="0CB2F4AB" w14:textId="4860FB6B" w:rsidR="00BE0129" w:rsidRPr="007E3C72" w:rsidRDefault="00BE0129" w:rsidP="007E3C72">
      <w:pPr>
        <w:jc w:val="center"/>
        <w:rPr>
          <w:bCs/>
        </w:rPr>
      </w:pPr>
    </w:p>
    <w:p w14:paraId="4B9A13A8" w14:textId="77777777" w:rsidR="00BE0129" w:rsidRPr="007E3C72" w:rsidRDefault="00BE0129" w:rsidP="007E3C72">
      <w:pPr>
        <w:jc w:val="center"/>
        <w:rPr>
          <w:bCs/>
        </w:rPr>
      </w:pPr>
    </w:p>
    <w:p w14:paraId="4888A024" w14:textId="77777777" w:rsidR="00BE0129" w:rsidRDefault="00BE0129" w:rsidP="007E3C72">
      <w:pPr>
        <w:rPr>
          <w:bCs/>
          <w:color w:val="1D1D1D"/>
          <w:shd w:val="clear" w:color="auto" w:fill="FFFFFF"/>
        </w:rPr>
      </w:pPr>
    </w:p>
    <w:p w14:paraId="646F2A09" w14:textId="77777777" w:rsidR="00FB33F2" w:rsidRDefault="00FB33F2" w:rsidP="007E3C72">
      <w:pPr>
        <w:rPr>
          <w:bCs/>
          <w:color w:val="1D1D1D"/>
          <w:shd w:val="clear" w:color="auto" w:fill="FFFFFF"/>
        </w:rPr>
      </w:pPr>
    </w:p>
    <w:p w14:paraId="17AC7530" w14:textId="77777777" w:rsidR="00FB33F2" w:rsidRDefault="00FB33F2" w:rsidP="007E3C72">
      <w:pPr>
        <w:rPr>
          <w:bCs/>
          <w:color w:val="1D1D1D"/>
          <w:shd w:val="clear" w:color="auto" w:fill="FFFFFF"/>
        </w:rPr>
      </w:pPr>
    </w:p>
    <w:p w14:paraId="4E1864B7" w14:textId="77777777" w:rsidR="00FB33F2" w:rsidRDefault="00FB33F2" w:rsidP="007E3C72">
      <w:pPr>
        <w:rPr>
          <w:bCs/>
          <w:color w:val="1D1D1D"/>
          <w:shd w:val="clear" w:color="auto" w:fill="FFFFFF"/>
        </w:rPr>
      </w:pPr>
    </w:p>
    <w:p w14:paraId="18DC95C0" w14:textId="77777777" w:rsidR="00FB33F2" w:rsidRDefault="00FB33F2" w:rsidP="007E3C72">
      <w:pPr>
        <w:rPr>
          <w:bCs/>
          <w:color w:val="1D1D1D"/>
          <w:shd w:val="clear" w:color="auto" w:fill="FFFFFF"/>
        </w:rPr>
      </w:pPr>
    </w:p>
    <w:p w14:paraId="2F5F05ED" w14:textId="77777777" w:rsidR="00FB33F2" w:rsidRDefault="00FB33F2" w:rsidP="00802D6D">
      <w:pPr>
        <w:ind w:firstLine="720"/>
        <w:jc w:val="center"/>
        <w:rPr>
          <w:bCs/>
          <w:color w:val="1D1D1D"/>
          <w:shd w:val="clear" w:color="auto" w:fill="FFFFFF"/>
        </w:rPr>
      </w:pPr>
      <w:r>
        <w:rPr>
          <w:bCs/>
          <w:color w:val="1D1D1D"/>
          <w:shd w:val="clear" w:color="auto" w:fill="FFFFFF"/>
        </w:rPr>
        <w:t xml:space="preserve"> </w:t>
      </w:r>
    </w:p>
    <w:p w14:paraId="3D71C513" w14:textId="6B7332D5" w:rsidR="00802D6D" w:rsidRPr="00802D6D" w:rsidRDefault="00491418" w:rsidP="00FB33F2">
      <w:pPr>
        <w:jc w:val="center"/>
        <w:rPr>
          <w:b/>
          <w:color w:val="1D1D1D"/>
          <w:shd w:val="clear" w:color="auto" w:fill="FFFFFF"/>
        </w:rPr>
      </w:pPr>
      <w:r w:rsidRPr="00802D6D">
        <w:rPr>
          <w:b/>
        </w:rPr>
        <w:lastRenderedPageBreak/>
        <w:t>Rights and Responsibilities of Landlord and Tenant</w:t>
      </w:r>
    </w:p>
    <w:p w14:paraId="5F8DA07C" w14:textId="584919A0" w:rsidR="0084622B" w:rsidRPr="007E3C72" w:rsidRDefault="00491418" w:rsidP="007E3C72">
      <w:pPr>
        <w:ind w:firstLine="720"/>
        <w:rPr>
          <w:bCs/>
          <w:color w:val="1D1D1D"/>
          <w:shd w:val="clear" w:color="auto" w:fill="FFFFFF"/>
        </w:rPr>
      </w:pPr>
      <w:r w:rsidRPr="007E3C72">
        <w:rPr>
          <w:color w:val="1D1D1D"/>
          <w:shd w:val="clear" w:color="auto" w:fill="FFFFFF"/>
        </w:rPr>
        <w:t xml:space="preserve">The eviction order will not hold up even when the facts stated are used as a guideline. There are many reasons why the eviction order will not hold, and one of them is that the landlord did not supply the tenant with a prior notice that will alert the tenant that he will evict him. The reason that the landlord is using to evict the tenant is not valid. According to the observation made, the landlord is evicting the tenant to serve as </w:t>
      </w:r>
      <w:r w:rsidR="00FB33F2" w:rsidRPr="007E3C72">
        <w:rPr>
          <w:bCs/>
          <w:color w:val="1D1D1D"/>
          <w:shd w:val="clear" w:color="auto" w:fill="FFFFFF"/>
        </w:rPr>
        <w:t>revenge</w:t>
      </w:r>
      <w:r w:rsidRPr="007E3C72">
        <w:rPr>
          <w:color w:val="1D1D1D"/>
          <w:shd w:val="clear" w:color="auto" w:fill="FFFFFF"/>
        </w:rPr>
        <w:t xml:space="preserve"> to the tenant for failing to pay rent and reporting him to the authorities. The landlord, too, has not taken time to reason with the tenant in a mission of reaching a consensus. The landlord should take time to reason with the tenant to agree on a convenient way for both of them.</w:t>
      </w:r>
    </w:p>
    <w:p w14:paraId="1690BD02" w14:textId="77777777" w:rsidR="0084622B" w:rsidRPr="007E3C72" w:rsidRDefault="00491418" w:rsidP="007E3C72">
      <w:pPr>
        <w:rPr>
          <w:bCs/>
          <w:color w:val="1D1D1D"/>
          <w:shd w:val="clear" w:color="auto" w:fill="FFFFFF"/>
        </w:rPr>
      </w:pPr>
      <w:r w:rsidRPr="007E3C72">
        <w:rPr>
          <w:color w:val="1D1D1D"/>
          <w:shd w:val="clear" w:color="auto" w:fill="FFFFFF"/>
        </w:rPr>
        <w:t>Despite being a hazardous environment, the landlord should have involved the tenant on finding the best solution for the situation, including vacating the place for a while for renovation or exiting it completely. The step the landlord took of obtaining an eviction plan was too fast and against the landlord-tenant agreement. The landlord did not also give a vacation notice to the tenant, and the notice of eviction is necessary before eviction.</w:t>
      </w:r>
    </w:p>
    <w:p w14:paraId="268031D4" w14:textId="575297A7" w:rsidR="004726B6" w:rsidRPr="007E3C72" w:rsidRDefault="00491418" w:rsidP="007E3C72">
      <w:pPr>
        <w:ind w:firstLine="720"/>
        <w:rPr>
          <w:bCs/>
          <w:color w:val="1D1D1D"/>
          <w:shd w:val="clear" w:color="auto" w:fill="FFFFFF"/>
        </w:rPr>
      </w:pPr>
      <w:r w:rsidRPr="007E3C72">
        <w:rPr>
          <w:color w:val="1D1D1D"/>
          <w:shd w:val="clear" w:color="auto" w:fill="FFFFFF"/>
        </w:rPr>
        <w:t xml:space="preserve"> The tenant needs to know when he is supposed to vacate the place to prepare for the next renting point. An abrupt eviction action will only expose the tenant to risk and cause him unnecessary stress and pressure to look for a new place within a short while</w:t>
      </w:r>
      <w:r w:rsidR="00BA2284" w:rsidRPr="007E3C72">
        <w:rPr>
          <w:color w:val="000000"/>
          <w:shd w:val="clear" w:color="auto" w:fill="FFFFFF"/>
        </w:rPr>
        <w:t xml:space="preserve"> (Ramos et al., 2016)</w:t>
      </w:r>
      <w:r w:rsidRPr="007E3C72">
        <w:rPr>
          <w:color w:val="1D1D1D"/>
          <w:shd w:val="clear" w:color="auto" w:fill="FFFFFF"/>
        </w:rPr>
        <w:t>. The landlord should also alert the tenant of his intention of reporting his intentions in court, and the action will give him to right to collect the unpaid rent from the tenant after evicting him. The man was not right for not paying the rent since he had not alerted the landlord about the moths and the cracks. The landlord could have salvaged the situation early. The landlord can state in a court of law that he respected the tenant; hence he did not check the condition of the house, and the tenant did not report to him about the cracking.</w:t>
      </w:r>
    </w:p>
    <w:p w14:paraId="04FE6104" w14:textId="77777777" w:rsidR="004726B6" w:rsidRPr="009A5BFF" w:rsidRDefault="00491418" w:rsidP="00FB33F2">
      <w:pPr>
        <w:jc w:val="center"/>
        <w:rPr>
          <w:b/>
          <w:color w:val="1D1D1D"/>
          <w:shd w:val="clear" w:color="auto" w:fill="FFFFFF"/>
        </w:rPr>
      </w:pPr>
      <w:r w:rsidRPr="009A5BFF">
        <w:rPr>
          <w:b/>
          <w:color w:val="1D1D1D"/>
          <w:shd w:val="clear" w:color="auto" w:fill="FFFFFF"/>
        </w:rPr>
        <w:t>Response</w:t>
      </w:r>
    </w:p>
    <w:p w14:paraId="2DDC78D9" w14:textId="3D7A09DA" w:rsidR="004726B6" w:rsidRPr="007E3C72" w:rsidRDefault="00491418" w:rsidP="007E3C72">
      <w:pPr>
        <w:ind w:firstLine="720"/>
        <w:rPr>
          <w:bCs/>
          <w:color w:val="1D1D1D"/>
          <w:shd w:val="clear" w:color="auto" w:fill="FFFFFF"/>
        </w:rPr>
      </w:pPr>
      <w:r w:rsidRPr="007E3C72">
        <w:rPr>
          <w:color w:val="1D1D1D"/>
          <w:shd w:val="clear" w:color="auto" w:fill="FFFFFF"/>
        </w:rPr>
        <w:lastRenderedPageBreak/>
        <w:t xml:space="preserve">One of my peers had indicated that the eviction order would hold. Despite being on the wrong side after reporting their conflict to the law court to fast, the tenant has a right not to </w:t>
      </w:r>
      <w:proofErr w:type="gramStart"/>
      <w:r w:rsidRPr="007E3C72">
        <w:rPr>
          <w:color w:val="1D1D1D"/>
          <w:shd w:val="clear" w:color="auto" w:fill="FFFFFF"/>
        </w:rPr>
        <w:t>evicted</w:t>
      </w:r>
      <w:proofErr w:type="gramEnd"/>
      <w:r w:rsidRPr="007E3C72">
        <w:rPr>
          <w:color w:val="1D1D1D"/>
          <w:shd w:val="clear" w:color="auto" w:fill="FFFFFF"/>
        </w:rPr>
        <w:t xml:space="preserve"> without notice of at least one month. The landlord has the right to decide how the houses to be rented are handled, but once the landlord rents the house to the tenant, the ownership right is transferred to the tenant</w:t>
      </w:r>
      <w:r w:rsidR="0084622B" w:rsidRPr="007E3C72">
        <w:rPr>
          <w:color w:val="000000"/>
          <w:shd w:val="clear" w:color="auto" w:fill="FFFFFF"/>
        </w:rPr>
        <w:t xml:space="preserve"> (Portman &amp; O'Connell, 2020)</w:t>
      </w:r>
      <w:r w:rsidRPr="007E3C72">
        <w:rPr>
          <w:color w:val="1D1D1D"/>
          <w:shd w:val="clear" w:color="auto" w:fill="FFFFFF"/>
        </w:rPr>
        <w:t>. The ownership right can be temporary depending on the length of time the tenant will stay in the house or permanent if the landlord sells the unit completely to the tenant. The tenant has an obligation of paying rent at the agreed time and amount. The tenant also should let the landlord know the house's condition and give access to him if he wants to do further investigations and observations</w:t>
      </w:r>
      <w:r w:rsidR="00644E47" w:rsidRPr="007E3C72">
        <w:rPr>
          <w:color w:val="000000"/>
          <w:shd w:val="clear" w:color="auto" w:fill="FFFFFF"/>
        </w:rPr>
        <w:t xml:space="preserve"> (Cheeseman, 2020)</w:t>
      </w:r>
      <w:r w:rsidRPr="007E3C72">
        <w:rPr>
          <w:color w:val="1D1D1D"/>
          <w:shd w:val="clear" w:color="auto" w:fill="FFFFFF"/>
        </w:rPr>
        <w:t>. Both the tenant and the landlord failed in playing their required roles.</w:t>
      </w:r>
      <w:r w:rsidR="00342890">
        <w:rPr>
          <w:color w:val="1D1D1D"/>
          <w:shd w:val="clear" w:color="auto" w:fill="FFFFFF"/>
        </w:rPr>
        <w:t xml:space="preserve"> If the landlord evicts the tenant without giving a notice to him even after acquiring the court order, the situation may get worse if the tenant reports the case.</w:t>
      </w:r>
      <w:r w:rsidR="003C0C05">
        <w:rPr>
          <w:color w:val="1D1D1D"/>
          <w:shd w:val="clear" w:color="auto" w:fill="FFFFFF"/>
        </w:rPr>
        <w:t xml:space="preserve"> The two parties should talk and arrive at a consensus on what they should do. </w:t>
      </w:r>
    </w:p>
    <w:p w14:paraId="3D9598F7" w14:textId="49AFB950" w:rsidR="00BA2284" w:rsidRPr="007E3C72" w:rsidRDefault="00BA2284" w:rsidP="007E3C72">
      <w:pPr>
        <w:rPr>
          <w:bCs/>
          <w:color w:val="1D1D1D"/>
          <w:shd w:val="clear" w:color="auto" w:fill="FFFFFF"/>
        </w:rPr>
      </w:pPr>
    </w:p>
    <w:p w14:paraId="756505C1" w14:textId="3F9AB932" w:rsidR="0084622B" w:rsidRPr="007E3C72" w:rsidRDefault="0084622B" w:rsidP="007E3C72">
      <w:pPr>
        <w:rPr>
          <w:bCs/>
          <w:color w:val="1D1D1D"/>
          <w:shd w:val="clear" w:color="auto" w:fill="FFFFFF"/>
        </w:rPr>
      </w:pPr>
    </w:p>
    <w:p w14:paraId="2DBF8536" w14:textId="27663E7D" w:rsidR="0084622B" w:rsidRPr="007E3C72" w:rsidRDefault="0084622B" w:rsidP="007E3C72">
      <w:pPr>
        <w:rPr>
          <w:bCs/>
          <w:color w:val="1D1D1D"/>
          <w:shd w:val="clear" w:color="auto" w:fill="FFFFFF"/>
        </w:rPr>
      </w:pPr>
    </w:p>
    <w:p w14:paraId="1877FB08" w14:textId="624BCD7C" w:rsidR="0084622B" w:rsidRPr="007E3C72" w:rsidRDefault="0084622B" w:rsidP="007E3C72">
      <w:pPr>
        <w:rPr>
          <w:bCs/>
          <w:color w:val="1D1D1D"/>
          <w:shd w:val="clear" w:color="auto" w:fill="FFFFFF"/>
        </w:rPr>
      </w:pPr>
    </w:p>
    <w:p w14:paraId="1116EF15" w14:textId="37DEB4B9" w:rsidR="0084622B" w:rsidRPr="007E3C72" w:rsidRDefault="0084622B" w:rsidP="007E3C72">
      <w:pPr>
        <w:rPr>
          <w:bCs/>
          <w:color w:val="1D1D1D"/>
          <w:shd w:val="clear" w:color="auto" w:fill="FFFFFF"/>
        </w:rPr>
      </w:pPr>
    </w:p>
    <w:p w14:paraId="75C7EA9B" w14:textId="7A8C7306" w:rsidR="0084622B" w:rsidRDefault="0084622B" w:rsidP="007E3C72">
      <w:pPr>
        <w:rPr>
          <w:bCs/>
          <w:color w:val="1D1D1D"/>
          <w:shd w:val="clear" w:color="auto" w:fill="FFFFFF"/>
        </w:rPr>
      </w:pPr>
    </w:p>
    <w:p w14:paraId="792595B4" w14:textId="31ED0337" w:rsidR="00802D6D" w:rsidRDefault="00802D6D" w:rsidP="007E3C72">
      <w:pPr>
        <w:rPr>
          <w:bCs/>
          <w:color w:val="1D1D1D"/>
          <w:shd w:val="clear" w:color="auto" w:fill="FFFFFF"/>
        </w:rPr>
      </w:pPr>
    </w:p>
    <w:p w14:paraId="6CA13350" w14:textId="7F3A7833" w:rsidR="00802D6D" w:rsidRDefault="00802D6D" w:rsidP="007E3C72">
      <w:pPr>
        <w:rPr>
          <w:bCs/>
          <w:color w:val="1D1D1D"/>
          <w:shd w:val="clear" w:color="auto" w:fill="FFFFFF"/>
        </w:rPr>
      </w:pPr>
    </w:p>
    <w:p w14:paraId="01222B5A" w14:textId="16E5C1B0" w:rsidR="00802D6D" w:rsidRDefault="00802D6D" w:rsidP="007E3C72">
      <w:pPr>
        <w:rPr>
          <w:bCs/>
          <w:color w:val="1D1D1D"/>
          <w:shd w:val="clear" w:color="auto" w:fill="FFFFFF"/>
        </w:rPr>
      </w:pPr>
    </w:p>
    <w:p w14:paraId="074433F1" w14:textId="5E89499A" w:rsidR="00802D6D" w:rsidRDefault="00802D6D" w:rsidP="007E3C72">
      <w:pPr>
        <w:rPr>
          <w:bCs/>
          <w:color w:val="1D1D1D"/>
          <w:shd w:val="clear" w:color="auto" w:fill="FFFFFF"/>
        </w:rPr>
      </w:pPr>
    </w:p>
    <w:p w14:paraId="4AF0381E" w14:textId="77777777" w:rsidR="00FB33F2" w:rsidRDefault="00FB33F2" w:rsidP="007E3C72">
      <w:pPr>
        <w:rPr>
          <w:bCs/>
          <w:color w:val="1D1D1D"/>
          <w:shd w:val="clear" w:color="auto" w:fill="FFFFFF"/>
        </w:rPr>
      </w:pPr>
      <w:bookmarkStart w:id="0" w:name="_GoBack"/>
      <w:bookmarkEnd w:id="0"/>
    </w:p>
    <w:p w14:paraId="0768F0D6" w14:textId="77777777" w:rsidR="00FB33F2" w:rsidRDefault="00FB33F2" w:rsidP="00FB33F2">
      <w:pPr>
        <w:rPr>
          <w:bCs/>
          <w:color w:val="1D1D1D"/>
          <w:shd w:val="clear" w:color="auto" w:fill="FFFFFF"/>
        </w:rPr>
      </w:pPr>
    </w:p>
    <w:p w14:paraId="15F11CC4" w14:textId="246BCEE5" w:rsidR="00BA2284" w:rsidRDefault="00491418" w:rsidP="00FB33F2">
      <w:pPr>
        <w:jc w:val="center"/>
        <w:rPr>
          <w:b/>
          <w:color w:val="1D1D1D"/>
          <w:shd w:val="clear" w:color="auto" w:fill="FFFFFF"/>
        </w:rPr>
      </w:pPr>
      <w:r w:rsidRPr="00802D6D">
        <w:rPr>
          <w:b/>
          <w:color w:val="1D1D1D"/>
          <w:shd w:val="clear" w:color="auto" w:fill="FFFFFF"/>
        </w:rPr>
        <w:lastRenderedPageBreak/>
        <w:t>References</w:t>
      </w:r>
    </w:p>
    <w:p w14:paraId="58065E5C" w14:textId="77777777" w:rsidR="009511CC" w:rsidRPr="007E3C72" w:rsidRDefault="00491418" w:rsidP="009511CC">
      <w:pPr>
        <w:rPr>
          <w:color w:val="000000"/>
          <w:shd w:val="clear" w:color="auto" w:fill="FFFFFF"/>
        </w:rPr>
      </w:pPr>
      <w:r w:rsidRPr="007E3C72">
        <w:rPr>
          <w:color w:val="000000"/>
          <w:shd w:val="clear" w:color="auto" w:fill="FFFFFF"/>
        </w:rPr>
        <w:t>Cheeseman, H. R. (2020). </w:t>
      </w:r>
      <w:proofErr w:type="gramStart"/>
      <w:r w:rsidRPr="007E3C72">
        <w:rPr>
          <w:color w:val="000000"/>
          <w:shd w:val="clear" w:color="auto" w:fill="FFFFFF"/>
        </w:rPr>
        <w:t>Business law.</w:t>
      </w:r>
      <w:proofErr w:type="gramEnd"/>
    </w:p>
    <w:p w14:paraId="56ECDDD0" w14:textId="5D194174" w:rsidR="009511CC" w:rsidRPr="009511CC" w:rsidRDefault="00491418" w:rsidP="009511CC">
      <w:pPr>
        <w:rPr>
          <w:bCs/>
        </w:rPr>
      </w:pPr>
      <w:proofErr w:type="gramStart"/>
      <w:r w:rsidRPr="007E3C72">
        <w:rPr>
          <w:color w:val="000000"/>
          <w:shd w:val="clear" w:color="auto" w:fill="FFFFFF"/>
        </w:rPr>
        <w:t>Portman, J., &amp; O'Connell, A. (2020).</w:t>
      </w:r>
      <w:proofErr w:type="gramEnd"/>
      <w:r w:rsidRPr="007E3C72">
        <w:rPr>
          <w:color w:val="000000"/>
          <w:shd w:val="clear" w:color="auto" w:fill="FFFFFF"/>
        </w:rPr>
        <w:t> Renters' rights</w:t>
      </w:r>
    </w:p>
    <w:p w14:paraId="7636ECE0" w14:textId="6EE27969" w:rsidR="00BA2284" w:rsidRPr="007E3C72" w:rsidRDefault="00491418" w:rsidP="007E3C72">
      <w:pPr>
        <w:rPr>
          <w:bCs/>
          <w:color w:val="1D1D1D"/>
          <w:shd w:val="clear" w:color="auto" w:fill="FFFFFF"/>
        </w:rPr>
      </w:pPr>
      <w:r w:rsidRPr="007E3C72">
        <w:rPr>
          <w:color w:val="000000"/>
          <w:shd w:val="clear" w:color="auto" w:fill="FFFFFF"/>
        </w:rPr>
        <w:t xml:space="preserve">Ramos, M., Continuing Legal Education in </w:t>
      </w:r>
      <w:proofErr w:type="gramStart"/>
      <w:r w:rsidRPr="007E3C72">
        <w:rPr>
          <w:color w:val="000000"/>
          <w:shd w:val="clear" w:color="auto" w:fill="FFFFFF"/>
        </w:rPr>
        <w:t>Colorado.,</w:t>
      </w:r>
      <w:proofErr w:type="gramEnd"/>
      <w:r w:rsidRPr="007E3C72">
        <w:rPr>
          <w:color w:val="000000"/>
          <w:shd w:val="clear" w:color="auto" w:fill="FFFFFF"/>
        </w:rPr>
        <w:t xml:space="preserve"> &amp; Colorado Bar Association. </w:t>
      </w:r>
      <w:r w:rsidR="009A5BFF">
        <w:rPr>
          <w:color w:val="000000"/>
          <w:shd w:val="clear" w:color="auto" w:fill="FFFFFF"/>
        </w:rPr>
        <w:tab/>
      </w:r>
      <w:r w:rsidR="00802D6D">
        <w:rPr>
          <w:color w:val="000000"/>
          <w:shd w:val="clear" w:color="auto" w:fill="FFFFFF"/>
        </w:rPr>
        <w:tab/>
      </w:r>
      <w:proofErr w:type="gramStart"/>
      <w:r w:rsidRPr="007E3C72">
        <w:rPr>
          <w:color w:val="000000"/>
          <w:shd w:val="clear" w:color="auto" w:fill="FFFFFF"/>
        </w:rPr>
        <w:t>(, 2016).</w:t>
      </w:r>
      <w:proofErr w:type="gramEnd"/>
      <w:r w:rsidRPr="007E3C72">
        <w:rPr>
          <w:color w:val="000000"/>
          <w:shd w:val="clear" w:color="auto" w:fill="FFFFFF"/>
        </w:rPr>
        <w:t xml:space="preserve"> Rights and obligations: Colorado landlord-tenant law from the perspective of</w:t>
      </w:r>
      <w:r w:rsidR="00802D6D">
        <w:rPr>
          <w:color w:val="000000"/>
          <w:shd w:val="clear" w:color="auto" w:fill="FFFFFF"/>
        </w:rPr>
        <w:tab/>
      </w:r>
      <w:r w:rsidRPr="007E3C72">
        <w:rPr>
          <w:color w:val="000000"/>
          <w:shd w:val="clear" w:color="auto" w:fill="FFFFFF"/>
        </w:rPr>
        <w:t>a tenant advocate.</w:t>
      </w:r>
    </w:p>
    <w:sectPr w:rsidR="00BA2284" w:rsidRPr="007E3C7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9145C" w14:textId="77777777" w:rsidR="009C68D6" w:rsidRDefault="009C68D6">
      <w:pPr>
        <w:spacing w:line="240" w:lineRule="auto"/>
      </w:pPr>
      <w:r>
        <w:separator/>
      </w:r>
    </w:p>
  </w:endnote>
  <w:endnote w:type="continuationSeparator" w:id="0">
    <w:p w14:paraId="30F0974F" w14:textId="77777777" w:rsidR="009C68D6" w:rsidRDefault="009C6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BA6EE" w14:textId="67366EC3" w:rsidR="00BE0129" w:rsidRDefault="00BE0129">
    <w:pPr>
      <w:pStyle w:val="Footer"/>
      <w:jc w:val="right"/>
    </w:pPr>
  </w:p>
  <w:p w14:paraId="6FB58AD9" w14:textId="77777777" w:rsidR="00BE0129" w:rsidRDefault="00BE01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3D3034" w14:textId="77777777" w:rsidR="009C68D6" w:rsidRDefault="009C68D6">
      <w:pPr>
        <w:spacing w:line="240" w:lineRule="auto"/>
      </w:pPr>
      <w:r>
        <w:separator/>
      </w:r>
    </w:p>
  </w:footnote>
  <w:footnote w:type="continuationSeparator" w:id="0">
    <w:p w14:paraId="15196001" w14:textId="77777777" w:rsidR="009C68D6" w:rsidRDefault="009C68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691440"/>
      <w:docPartObj>
        <w:docPartGallery w:val="Page Numbers (Top of Page)"/>
        <w:docPartUnique/>
      </w:docPartObj>
    </w:sdtPr>
    <w:sdtEndPr>
      <w:rPr>
        <w:noProof/>
      </w:rPr>
    </w:sdtEndPr>
    <w:sdtContent>
      <w:p w14:paraId="71485BE6" w14:textId="4795234B" w:rsidR="00FB33F2" w:rsidRDefault="00FB33F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1E5294A4" w14:textId="77777777" w:rsidR="00FB33F2" w:rsidRDefault="00FB33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563"/>
    <w:rsid w:val="00301C42"/>
    <w:rsid w:val="00342890"/>
    <w:rsid w:val="003C0C05"/>
    <w:rsid w:val="00411563"/>
    <w:rsid w:val="004726B6"/>
    <w:rsid w:val="00491418"/>
    <w:rsid w:val="00644E47"/>
    <w:rsid w:val="007E3C72"/>
    <w:rsid w:val="00802D6D"/>
    <w:rsid w:val="0084622B"/>
    <w:rsid w:val="009511CC"/>
    <w:rsid w:val="009A5BFF"/>
    <w:rsid w:val="009C68D6"/>
    <w:rsid w:val="00BA2284"/>
    <w:rsid w:val="00BE0129"/>
    <w:rsid w:val="00D22889"/>
    <w:rsid w:val="00FB3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6B6"/>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129"/>
    <w:pPr>
      <w:tabs>
        <w:tab w:val="center" w:pos="4513"/>
        <w:tab w:val="right" w:pos="9026"/>
      </w:tabs>
      <w:spacing w:line="240" w:lineRule="auto"/>
    </w:pPr>
  </w:style>
  <w:style w:type="character" w:customStyle="1" w:styleId="HeaderChar">
    <w:name w:val="Header Char"/>
    <w:basedOn w:val="DefaultParagraphFont"/>
    <w:link w:val="Header"/>
    <w:uiPriority w:val="99"/>
    <w:rsid w:val="00BE0129"/>
    <w:rPr>
      <w:rFonts w:cs="Times New Roman"/>
      <w:bCs/>
      <w:lang w:val="en-US"/>
    </w:rPr>
  </w:style>
  <w:style w:type="paragraph" w:styleId="Footer">
    <w:name w:val="footer"/>
    <w:basedOn w:val="Normal"/>
    <w:link w:val="FooterChar"/>
    <w:uiPriority w:val="99"/>
    <w:unhideWhenUsed/>
    <w:rsid w:val="00BE0129"/>
    <w:pPr>
      <w:tabs>
        <w:tab w:val="center" w:pos="4513"/>
        <w:tab w:val="right" w:pos="9026"/>
      </w:tabs>
      <w:spacing w:line="240" w:lineRule="auto"/>
    </w:pPr>
  </w:style>
  <w:style w:type="character" w:customStyle="1" w:styleId="FooterChar">
    <w:name w:val="Footer Char"/>
    <w:basedOn w:val="DefaultParagraphFont"/>
    <w:link w:val="Footer"/>
    <w:uiPriority w:val="99"/>
    <w:rsid w:val="00BE0129"/>
    <w:rPr>
      <w:rFonts w:cs="Times New Roman"/>
      <w:bC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6B6"/>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129"/>
    <w:pPr>
      <w:tabs>
        <w:tab w:val="center" w:pos="4513"/>
        <w:tab w:val="right" w:pos="9026"/>
      </w:tabs>
      <w:spacing w:line="240" w:lineRule="auto"/>
    </w:pPr>
  </w:style>
  <w:style w:type="character" w:customStyle="1" w:styleId="HeaderChar">
    <w:name w:val="Header Char"/>
    <w:basedOn w:val="DefaultParagraphFont"/>
    <w:link w:val="Header"/>
    <w:uiPriority w:val="99"/>
    <w:rsid w:val="00BE0129"/>
    <w:rPr>
      <w:rFonts w:cs="Times New Roman"/>
      <w:bCs/>
      <w:lang w:val="en-US"/>
    </w:rPr>
  </w:style>
  <w:style w:type="paragraph" w:styleId="Footer">
    <w:name w:val="footer"/>
    <w:basedOn w:val="Normal"/>
    <w:link w:val="FooterChar"/>
    <w:uiPriority w:val="99"/>
    <w:unhideWhenUsed/>
    <w:rsid w:val="00BE0129"/>
    <w:pPr>
      <w:tabs>
        <w:tab w:val="center" w:pos="4513"/>
        <w:tab w:val="right" w:pos="9026"/>
      </w:tabs>
      <w:spacing w:line="240" w:lineRule="auto"/>
    </w:pPr>
  </w:style>
  <w:style w:type="character" w:customStyle="1" w:styleId="FooterChar">
    <w:name w:val="Footer Char"/>
    <w:basedOn w:val="DefaultParagraphFont"/>
    <w:link w:val="Footer"/>
    <w:uiPriority w:val="99"/>
    <w:rsid w:val="00BE0129"/>
    <w:rPr>
      <w:rFonts w:cs="Times New Roman"/>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13</cp:revision>
  <dcterms:created xsi:type="dcterms:W3CDTF">2020-09-26T22:01:00Z</dcterms:created>
  <dcterms:modified xsi:type="dcterms:W3CDTF">2020-09-27T08:11:00Z</dcterms:modified>
</cp:coreProperties>
</file>