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088" w:rsidRPr="00D7517B" w:rsidRDefault="003E3088" w:rsidP="00F14280">
      <w:pPr>
        <w:spacing w:after="0" w:line="480" w:lineRule="auto"/>
        <w:contextualSpacing/>
        <w:jc w:val="center"/>
        <w:rPr>
          <w:rFonts w:ascii="Times New Roman" w:hAnsi="Times New Roman" w:cs="Times New Roman"/>
          <w:sz w:val="24"/>
          <w:szCs w:val="24"/>
        </w:rPr>
      </w:pPr>
    </w:p>
    <w:p w:rsidR="003E3088" w:rsidRPr="00D7517B" w:rsidRDefault="003E3088" w:rsidP="00F14280">
      <w:pPr>
        <w:spacing w:after="0" w:line="480" w:lineRule="auto"/>
        <w:contextualSpacing/>
        <w:jc w:val="center"/>
        <w:rPr>
          <w:rFonts w:ascii="Times New Roman" w:hAnsi="Times New Roman" w:cs="Times New Roman"/>
          <w:sz w:val="24"/>
          <w:szCs w:val="24"/>
        </w:rPr>
      </w:pPr>
    </w:p>
    <w:p w:rsidR="003E3088" w:rsidRPr="00D7517B" w:rsidRDefault="003E3088" w:rsidP="00F14280">
      <w:pPr>
        <w:spacing w:after="0" w:line="480" w:lineRule="auto"/>
        <w:contextualSpacing/>
        <w:jc w:val="center"/>
        <w:rPr>
          <w:rFonts w:ascii="Times New Roman" w:hAnsi="Times New Roman" w:cs="Times New Roman"/>
          <w:sz w:val="24"/>
          <w:szCs w:val="24"/>
        </w:rPr>
      </w:pPr>
    </w:p>
    <w:p w:rsidR="003E3088" w:rsidRPr="00D7517B" w:rsidRDefault="00F14280" w:rsidP="00F14280">
      <w:pPr>
        <w:tabs>
          <w:tab w:val="left" w:pos="3650"/>
          <w:tab w:val="center" w:pos="468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Unit 5 Assignment</w:t>
      </w:r>
    </w:p>
    <w:p w:rsidR="003E3088" w:rsidRPr="00D7517B" w:rsidRDefault="003E3088" w:rsidP="00F14280">
      <w:pPr>
        <w:spacing w:after="0" w:line="480" w:lineRule="auto"/>
        <w:contextualSpacing/>
        <w:jc w:val="center"/>
        <w:rPr>
          <w:rFonts w:ascii="Times New Roman" w:hAnsi="Times New Roman" w:cs="Times New Roman"/>
          <w:sz w:val="24"/>
          <w:szCs w:val="24"/>
        </w:rPr>
      </w:pPr>
      <w:r w:rsidRPr="00D7517B">
        <w:rPr>
          <w:rFonts w:ascii="Times New Roman" w:hAnsi="Times New Roman" w:cs="Times New Roman"/>
          <w:sz w:val="24"/>
          <w:szCs w:val="24"/>
        </w:rPr>
        <w:t>Student’s name</w:t>
      </w:r>
    </w:p>
    <w:p w:rsidR="003E3088" w:rsidRPr="00D7517B" w:rsidRDefault="003E3088" w:rsidP="00F14280">
      <w:pPr>
        <w:spacing w:after="0" w:line="480" w:lineRule="auto"/>
        <w:contextualSpacing/>
        <w:jc w:val="center"/>
        <w:rPr>
          <w:rFonts w:ascii="Times New Roman" w:hAnsi="Times New Roman" w:cs="Times New Roman"/>
          <w:sz w:val="24"/>
          <w:szCs w:val="24"/>
        </w:rPr>
      </w:pPr>
      <w:r w:rsidRPr="00D7517B">
        <w:rPr>
          <w:rFonts w:ascii="Times New Roman" w:hAnsi="Times New Roman" w:cs="Times New Roman"/>
          <w:sz w:val="24"/>
          <w:szCs w:val="24"/>
        </w:rPr>
        <w:t>Institution</w:t>
      </w:r>
    </w:p>
    <w:p w:rsidR="003E3088" w:rsidRPr="00D7517B" w:rsidRDefault="003E3088" w:rsidP="00F14280">
      <w:pPr>
        <w:spacing w:after="0" w:line="480" w:lineRule="auto"/>
        <w:contextualSpacing/>
        <w:jc w:val="center"/>
        <w:rPr>
          <w:rFonts w:ascii="Times New Roman" w:hAnsi="Times New Roman" w:cs="Times New Roman"/>
          <w:sz w:val="24"/>
          <w:szCs w:val="24"/>
        </w:rPr>
      </w:pPr>
      <w:r w:rsidRPr="00D7517B">
        <w:rPr>
          <w:rFonts w:ascii="Times New Roman" w:hAnsi="Times New Roman" w:cs="Times New Roman"/>
          <w:sz w:val="24"/>
          <w:szCs w:val="24"/>
        </w:rPr>
        <w:t>Date</w:t>
      </w:r>
    </w:p>
    <w:p w:rsidR="003E3088" w:rsidRPr="00D7517B" w:rsidRDefault="003E3088" w:rsidP="00F14280">
      <w:pPr>
        <w:spacing w:after="0" w:line="480" w:lineRule="auto"/>
        <w:contextualSpacing/>
        <w:jc w:val="center"/>
        <w:rPr>
          <w:rFonts w:ascii="Times New Roman" w:hAnsi="Times New Roman" w:cs="Times New Roman"/>
          <w:sz w:val="24"/>
          <w:szCs w:val="24"/>
        </w:rPr>
      </w:pPr>
      <w:r w:rsidRPr="00D7517B">
        <w:rPr>
          <w:rFonts w:ascii="Times New Roman" w:hAnsi="Times New Roman" w:cs="Times New Roman"/>
          <w:sz w:val="24"/>
          <w:szCs w:val="24"/>
        </w:rPr>
        <w:br w:type="page"/>
      </w:r>
    </w:p>
    <w:p w:rsidR="009511C4" w:rsidRPr="00F14280" w:rsidRDefault="009511C4" w:rsidP="00F14280">
      <w:pPr>
        <w:spacing w:after="0" w:line="480" w:lineRule="auto"/>
        <w:contextualSpacing/>
        <w:jc w:val="center"/>
        <w:rPr>
          <w:rFonts w:ascii="Times New Roman" w:hAnsi="Times New Roman" w:cs="Times New Roman"/>
          <w:b/>
          <w:sz w:val="24"/>
          <w:szCs w:val="24"/>
        </w:rPr>
      </w:pPr>
      <w:r w:rsidRPr="00F14280">
        <w:rPr>
          <w:rFonts w:ascii="Times New Roman" w:hAnsi="Times New Roman" w:cs="Times New Roman"/>
          <w:b/>
          <w:sz w:val="24"/>
          <w:szCs w:val="24"/>
        </w:rPr>
        <w:lastRenderedPageBreak/>
        <w:t>Terms of contract</w:t>
      </w:r>
    </w:p>
    <w:p w:rsidR="009511C4" w:rsidRPr="00D7517B" w:rsidRDefault="009511C4" w:rsidP="00F14280">
      <w:pPr>
        <w:spacing w:after="0" w:line="480" w:lineRule="auto"/>
        <w:ind w:firstLine="720"/>
        <w:contextualSpacing/>
        <w:rPr>
          <w:rFonts w:ascii="Times New Roman" w:hAnsi="Times New Roman" w:cs="Times New Roman"/>
          <w:sz w:val="24"/>
          <w:szCs w:val="24"/>
        </w:rPr>
      </w:pPr>
      <w:r w:rsidRPr="00D7517B">
        <w:rPr>
          <w:rFonts w:ascii="Times New Roman" w:hAnsi="Times New Roman" w:cs="Times New Roman"/>
          <w:sz w:val="24"/>
          <w:szCs w:val="24"/>
        </w:rPr>
        <w:t xml:space="preserve">A legal contract is an understanding between two parties that establishes legally enforceable common commitments. Several primary components must be available before an agreement is authoritative: the offer, the acceptance, the type of contract and the promissory estoppel. </w:t>
      </w:r>
    </w:p>
    <w:p w:rsidR="00F14280" w:rsidRPr="00F14280" w:rsidRDefault="00F14280" w:rsidP="00F14280">
      <w:pPr>
        <w:spacing w:after="0" w:line="480" w:lineRule="auto"/>
        <w:contextualSpacing/>
        <w:jc w:val="center"/>
        <w:rPr>
          <w:rFonts w:ascii="Times New Roman" w:hAnsi="Times New Roman" w:cs="Times New Roman"/>
          <w:b/>
          <w:sz w:val="24"/>
          <w:szCs w:val="24"/>
        </w:rPr>
      </w:pPr>
      <w:r w:rsidRPr="00F14280">
        <w:rPr>
          <w:rFonts w:ascii="Times New Roman" w:hAnsi="Times New Roman" w:cs="Times New Roman"/>
          <w:b/>
          <w:sz w:val="24"/>
          <w:szCs w:val="24"/>
        </w:rPr>
        <w:t>Offer</w:t>
      </w:r>
    </w:p>
    <w:p w:rsidR="009511C4" w:rsidRPr="00D7517B" w:rsidRDefault="00D9261E" w:rsidP="00F14280">
      <w:pPr>
        <w:spacing w:after="0" w:line="480" w:lineRule="auto"/>
        <w:ind w:firstLine="720"/>
        <w:contextualSpacing/>
        <w:rPr>
          <w:rFonts w:ascii="Times New Roman" w:hAnsi="Times New Roman" w:cs="Times New Roman"/>
          <w:sz w:val="24"/>
          <w:szCs w:val="24"/>
        </w:rPr>
      </w:pPr>
      <w:r w:rsidRPr="00D7517B">
        <w:rPr>
          <w:rFonts w:ascii="Times New Roman" w:hAnsi="Times New Roman" w:cs="Times New Roman"/>
          <w:sz w:val="24"/>
          <w:szCs w:val="24"/>
        </w:rPr>
        <w:t xml:space="preserve">According to </w:t>
      </w:r>
      <w:r w:rsidR="00F14280">
        <w:rPr>
          <w:rFonts w:ascii="Times New Roman" w:hAnsi="Times New Roman" w:cs="Times New Roman"/>
          <w:sz w:val="24"/>
          <w:szCs w:val="24"/>
          <w:shd w:val="clear" w:color="auto" w:fill="F7F7ED"/>
        </w:rPr>
        <w:t xml:space="preserve">Dyson et al., </w:t>
      </w:r>
      <w:r w:rsidRPr="00D7517B">
        <w:rPr>
          <w:rFonts w:ascii="Times New Roman" w:hAnsi="Times New Roman" w:cs="Times New Roman"/>
          <w:sz w:val="24"/>
          <w:szCs w:val="24"/>
          <w:shd w:val="clear" w:color="auto" w:fill="F7F7ED"/>
        </w:rPr>
        <w:t xml:space="preserve"> (2017), t</w:t>
      </w:r>
      <w:r w:rsidR="009511C4" w:rsidRPr="00D7517B">
        <w:rPr>
          <w:rFonts w:ascii="Times New Roman" w:hAnsi="Times New Roman" w:cs="Times New Roman"/>
          <w:sz w:val="24"/>
          <w:szCs w:val="24"/>
        </w:rPr>
        <w:t>he "offer" is the guarantee that one group makes to pay the other for their administrations. For example, you can consent to pay a visual creator $ 1,000 to make a logo for your business. You consent to paying for a store and the endless supply of the logo electronically, in organizations that you can use for both print and web advertising. The offer frequently incorporates different terms and conditions, for example, the visual creator waive the copyright of the logo.</w:t>
      </w:r>
    </w:p>
    <w:p w:rsidR="009511C4" w:rsidRPr="00D7517B" w:rsidRDefault="009511C4" w:rsidP="00F14280">
      <w:pPr>
        <w:spacing w:after="0" w:line="480" w:lineRule="auto"/>
        <w:ind w:firstLine="720"/>
        <w:contextualSpacing/>
        <w:rPr>
          <w:rFonts w:ascii="Times New Roman" w:hAnsi="Times New Roman" w:cs="Times New Roman"/>
          <w:sz w:val="24"/>
          <w:szCs w:val="24"/>
        </w:rPr>
      </w:pPr>
      <w:r w:rsidRPr="00D7517B">
        <w:rPr>
          <w:rFonts w:ascii="Times New Roman" w:hAnsi="Times New Roman" w:cs="Times New Roman"/>
          <w:sz w:val="24"/>
          <w:szCs w:val="24"/>
        </w:rPr>
        <w:t xml:space="preserve">"Acceptance" is the point at which the other party agrees to perform the assignment for the remuneration specified in the </w:t>
      </w:r>
      <w:r w:rsidR="00D9261E" w:rsidRPr="00D7517B">
        <w:rPr>
          <w:rFonts w:ascii="Times New Roman" w:hAnsi="Times New Roman" w:cs="Times New Roman"/>
          <w:sz w:val="24"/>
          <w:szCs w:val="24"/>
        </w:rPr>
        <w:t xml:space="preserve">agreement </w:t>
      </w:r>
      <w:r w:rsidR="00F14280">
        <w:rPr>
          <w:rFonts w:ascii="Times New Roman" w:hAnsi="Times New Roman" w:cs="Times New Roman"/>
          <w:sz w:val="24"/>
          <w:szCs w:val="24"/>
          <w:shd w:val="clear" w:color="auto" w:fill="F7F7ED"/>
        </w:rPr>
        <w:t xml:space="preserve">(Dyson et al., </w:t>
      </w:r>
      <w:r w:rsidR="00D9261E" w:rsidRPr="00D7517B">
        <w:rPr>
          <w:rFonts w:ascii="Times New Roman" w:hAnsi="Times New Roman" w:cs="Times New Roman"/>
          <w:sz w:val="24"/>
          <w:szCs w:val="24"/>
          <w:shd w:val="clear" w:color="auto" w:fill="F7F7ED"/>
        </w:rPr>
        <w:t xml:space="preserve">2017). </w:t>
      </w:r>
      <w:r w:rsidRPr="00D7517B">
        <w:rPr>
          <w:rFonts w:ascii="Times New Roman" w:hAnsi="Times New Roman" w:cs="Times New Roman"/>
          <w:sz w:val="24"/>
          <w:szCs w:val="24"/>
        </w:rPr>
        <w:t xml:space="preserve"> In this model, it is the point where the visual creator accepts the cost and acknowledges the store.</w:t>
      </w:r>
    </w:p>
    <w:p w:rsidR="009511C4" w:rsidRPr="00D7517B" w:rsidRDefault="009511C4" w:rsidP="00F14280">
      <w:pPr>
        <w:spacing w:after="0" w:line="480" w:lineRule="auto"/>
        <w:contextualSpacing/>
        <w:jc w:val="center"/>
        <w:rPr>
          <w:rFonts w:ascii="Times New Roman" w:hAnsi="Times New Roman" w:cs="Times New Roman"/>
          <w:b/>
          <w:sz w:val="24"/>
          <w:szCs w:val="24"/>
        </w:rPr>
      </w:pPr>
      <w:r w:rsidRPr="00D7517B">
        <w:rPr>
          <w:rFonts w:ascii="Times New Roman" w:hAnsi="Times New Roman" w:cs="Times New Roman"/>
          <w:b/>
          <w:sz w:val="24"/>
          <w:szCs w:val="24"/>
        </w:rPr>
        <w:t>Unilateral contracts</w:t>
      </w:r>
    </w:p>
    <w:p w:rsidR="009511C4" w:rsidRPr="00D7517B" w:rsidRDefault="009511C4" w:rsidP="00F14280">
      <w:pPr>
        <w:spacing w:after="0" w:line="480" w:lineRule="auto"/>
        <w:ind w:firstLine="720"/>
        <w:contextualSpacing/>
        <w:rPr>
          <w:rFonts w:ascii="Times New Roman" w:hAnsi="Times New Roman" w:cs="Times New Roman"/>
          <w:sz w:val="24"/>
          <w:szCs w:val="24"/>
        </w:rPr>
      </w:pPr>
      <w:r w:rsidRPr="00D7517B">
        <w:rPr>
          <w:rFonts w:ascii="Times New Roman" w:hAnsi="Times New Roman" w:cs="Times New Roman"/>
          <w:sz w:val="24"/>
          <w:szCs w:val="24"/>
        </w:rPr>
        <w:t>A unilateral contract is an agreement of understanding in which an offer is made or a promise to pay after the event of a predefined demonstration. All in all, one-sided contracts are frequently used when an offer or have an open request where they are happy to pay for a pre-defined demo.</w:t>
      </w:r>
    </w:p>
    <w:p w:rsidR="009511C4" w:rsidRDefault="009511C4" w:rsidP="00F14280">
      <w:pPr>
        <w:spacing w:after="0" w:line="480" w:lineRule="auto"/>
        <w:contextualSpacing/>
        <w:rPr>
          <w:rFonts w:ascii="Times New Roman" w:hAnsi="Times New Roman" w:cs="Times New Roman"/>
          <w:sz w:val="24"/>
          <w:szCs w:val="24"/>
        </w:rPr>
      </w:pPr>
      <w:r w:rsidRPr="00D7517B">
        <w:rPr>
          <w:rFonts w:ascii="Times New Roman" w:hAnsi="Times New Roman" w:cs="Times New Roman"/>
          <w:sz w:val="24"/>
          <w:szCs w:val="24"/>
        </w:rPr>
        <w:t>An example of a unilateral contract is a hedge strategy contract, which is generally somewhat one-sided. In a unilateral contract, the offer or is the principal party with an authorized commitment.</w:t>
      </w:r>
    </w:p>
    <w:p w:rsidR="003C6D05" w:rsidRPr="00D7517B" w:rsidRDefault="003C6D05" w:rsidP="00F14280">
      <w:pPr>
        <w:spacing w:after="0" w:line="480" w:lineRule="auto"/>
        <w:contextualSpacing/>
        <w:jc w:val="center"/>
        <w:rPr>
          <w:rFonts w:ascii="Times New Roman" w:hAnsi="Times New Roman" w:cs="Times New Roman"/>
          <w:sz w:val="24"/>
          <w:szCs w:val="24"/>
        </w:rPr>
      </w:pPr>
      <w:r w:rsidRPr="00D7517B">
        <w:rPr>
          <w:rFonts w:ascii="Times New Roman" w:hAnsi="Times New Roman" w:cs="Times New Roman"/>
          <w:b/>
          <w:sz w:val="24"/>
          <w:szCs w:val="24"/>
        </w:rPr>
        <w:t>Bilateral</w:t>
      </w:r>
      <w:r>
        <w:rPr>
          <w:rFonts w:ascii="Times New Roman" w:hAnsi="Times New Roman" w:cs="Times New Roman"/>
          <w:b/>
          <w:sz w:val="24"/>
          <w:szCs w:val="24"/>
        </w:rPr>
        <w:t xml:space="preserve"> </w:t>
      </w:r>
      <w:r w:rsidRPr="00D7517B">
        <w:rPr>
          <w:rFonts w:ascii="Times New Roman" w:hAnsi="Times New Roman" w:cs="Times New Roman"/>
          <w:b/>
          <w:sz w:val="24"/>
          <w:szCs w:val="24"/>
        </w:rPr>
        <w:t>contracts</w:t>
      </w:r>
    </w:p>
    <w:p w:rsidR="009511C4" w:rsidRPr="00D7517B" w:rsidRDefault="009511C4" w:rsidP="00F14280">
      <w:pPr>
        <w:spacing w:after="0" w:line="480" w:lineRule="auto"/>
        <w:ind w:firstLine="720"/>
        <w:contextualSpacing/>
        <w:rPr>
          <w:rFonts w:ascii="Times New Roman" w:hAnsi="Times New Roman" w:cs="Times New Roman"/>
          <w:sz w:val="24"/>
          <w:szCs w:val="24"/>
        </w:rPr>
      </w:pPr>
      <w:r w:rsidRPr="00D7517B">
        <w:rPr>
          <w:rFonts w:ascii="Times New Roman" w:hAnsi="Times New Roman" w:cs="Times New Roman"/>
          <w:sz w:val="24"/>
          <w:szCs w:val="24"/>
        </w:rPr>
        <w:t>In a bilateral contract, the two players agree to a compromise. Bilateral contracts typically include an equivalent commitment from the offer or the recipient. When all is said, the essential qualification between the unilateral and respective agreements is a corresponding compromise of the two players.</w:t>
      </w:r>
    </w:p>
    <w:p w:rsidR="009511C4" w:rsidRPr="00F14280" w:rsidRDefault="009511C4" w:rsidP="00F14280">
      <w:pPr>
        <w:spacing w:after="0" w:line="480" w:lineRule="auto"/>
        <w:contextualSpacing/>
        <w:jc w:val="center"/>
        <w:rPr>
          <w:rFonts w:ascii="Times New Roman" w:hAnsi="Times New Roman" w:cs="Times New Roman"/>
          <w:b/>
          <w:sz w:val="24"/>
          <w:szCs w:val="24"/>
        </w:rPr>
      </w:pPr>
      <w:r w:rsidRPr="00D7517B">
        <w:rPr>
          <w:rFonts w:ascii="Times New Roman" w:hAnsi="Times New Roman" w:cs="Times New Roman"/>
          <w:b/>
          <w:sz w:val="24"/>
          <w:szCs w:val="24"/>
        </w:rPr>
        <w:t>Promissory estoppel</w:t>
      </w:r>
    </w:p>
    <w:p w:rsidR="00D9261E" w:rsidRPr="00D7517B" w:rsidRDefault="009511C4" w:rsidP="00F14280">
      <w:pPr>
        <w:spacing w:after="0" w:line="480" w:lineRule="auto"/>
        <w:ind w:firstLine="720"/>
        <w:contextualSpacing/>
        <w:rPr>
          <w:rFonts w:ascii="Times New Roman" w:hAnsi="Times New Roman" w:cs="Times New Roman"/>
          <w:sz w:val="24"/>
          <w:szCs w:val="24"/>
        </w:rPr>
      </w:pPr>
      <w:r w:rsidRPr="00D7517B">
        <w:rPr>
          <w:rFonts w:ascii="Times New Roman" w:hAnsi="Times New Roman" w:cs="Times New Roman"/>
          <w:sz w:val="24"/>
          <w:szCs w:val="24"/>
        </w:rPr>
        <w:t>Promissory estoppel is the legal rule according to which a guarantee is enforceable by law, regardless of whether it is made without formal thought when a promisor has made a guarantee to a fiancé who at that time depends on that guarantee for his resulting return</w:t>
      </w:r>
      <w:r w:rsidR="00D9261E" w:rsidRPr="00D7517B">
        <w:rPr>
          <w:rFonts w:ascii="Times New Roman" w:hAnsi="Times New Roman" w:cs="Times New Roman"/>
          <w:sz w:val="24"/>
          <w:szCs w:val="24"/>
        </w:rPr>
        <w:t xml:space="preserve"> (</w:t>
      </w:r>
      <w:r w:rsidR="00F14280">
        <w:rPr>
          <w:rFonts w:ascii="Times New Roman" w:hAnsi="Times New Roman" w:cs="Times New Roman"/>
          <w:sz w:val="24"/>
          <w:szCs w:val="24"/>
          <w:shd w:val="clear" w:color="auto" w:fill="F7F7ED"/>
        </w:rPr>
        <w:t xml:space="preserve">Dyson et.al., </w:t>
      </w:r>
      <w:r w:rsidR="00D9261E" w:rsidRPr="00D7517B">
        <w:rPr>
          <w:rFonts w:ascii="Times New Roman" w:hAnsi="Times New Roman" w:cs="Times New Roman"/>
          <w:sz w:val="24"/>
          <w:szCs w:val="24"/>
          <w:shd w:val="clear" w:color="auto" w:fill="F7F7ED"/>
        </w:rPr>
        <w:t xml:space="preserve">2017). </w:t>
      </w:r>
      <w:r w:rsidR="00D9261E" w:rsidRPr="00D7517B">
        <w:rPr>
          <w:rFonts w:ascii="Times New Roman" w:hAnsi="Times New Roman" w:cs="Times New Roman"/>
          <w:sz w:val="24"/>
          <w:szCs w:val="24"/>
        </w:rPr>
        <w:t xml:space="preserve"> </w:t>
      </w:r>
      <w:r w:rsidRPr="00D7517B">
        <w:rPr>
          <w:rFonts w:ascii="Times New Roman" w:hAnsi="Times New Roman" w:cs="Times New Roman"/>
          <w:sz w:val="24"/>
          <w:szCs w:val="24"/>
        </w:rPr>
        <w:t xml:space="preserve">. It is intended to prevent the promisor from claiming that a hidden security should not be legally upheld or maintained. The teaching of promissory estoppel is important to the law in the United States and in different nations, despite the fact that the exact legitimate prerequisites for promissory estoppel vary between nations as well as between various arenas, e.g., states, within a country. </w:t>
      </w:r>
    </w:p>
    <w:p w:rsidR="00D9261E" w:rsidRPr="00D7517B" w:rsidRDefault="00D9261E" w:rsidP="00F14280">
      <w:pPr>
        <w:spacing w:after="0" w:line="480" w:lineRule="auto"/>
        <w:contextualSpacing/>
        <w:rPr>
          <w:rFonts w:ascii="Times New Roman" w:hAnsi="Times New Roman" w:cs="Times New Roman"/>
          <w:sz w:val="24"/>
          <w:szCs w:val="24"/>
        </w:rPr>
      </w:pPr>
      <w:r w:rsidRPr="00D7517B">
        <w:rPr>
          <w:rFonts w:ascii="Times New Roman" w:hAnsi="Times New Roman" w:cs="Times New Roman"/>
          <w:sz w:val="24"/>
          <w:szCs w:val="24"/>
        </w:rPr>
        <w:br w:type="page"/>
      </w:r>
    </w:p>
    <w:p w:rsidR="000465FD" w:rsidRPr="00D7517B" w:rsidRDefault="00D9261E" w:rsidP="00F14280">
      <w:pPr>
        <w:spacing w:after="0" w:line="480" w:lineRule="auto"/>
        <w:ind w:firstLine="720"/>
        <w:contextualSpacing/>
        <w:jc w:val="center"/>
        <w:rPr>
          <w:rFonts w:ascii="Times New Roman" w:hAnsi="Times New Roman" w:cs="Times New Roman"/>
          <w:sz w:val="24"/>
          <w:szCs w:val="24"/>
        </w:rPr>
      </w:pPr>
      <w:r w:rsidRPr="00D7517B">
        <w:rPr>
          <w:rFonts w:ascii="Times New Roman" w:hAnsi="Times New Roman" w:cs="Times New Roman"/>
          <w:sz w:val="24"/>
          <w:szCs w:val="24"/>
        </w:rPr>
        <w:t>References</w:t>
      </w:r>
    </w:p>
    <w:p w:rsidR="00D9261E" w:rsidRPr="00D7517B" w:rsidRDefault="00D9261E" w:rsidP="00F14280">
      <w:pPr>
        <w:spacing w:after="0" w:line="480" w:lineRule="auto"/>
        <w:contextualSpacing/>
        <w:rPr>
          <w:rFonts w:ascii="Times New Roman" w:hAnsi="Times New Roman" w:cs="Times New Roman"/>
          <w:sz w:val="24"/>
          <w:szCs w:val="24"/>
          <w:shd w:val="clear" w:color="auto" w:fill="F7F7ED"/>
        </w:rPr>
      </w:pPr>
      <w:r w:rsidRPr="00D7517B">
        <w:rPr>
          <w:rFonts w:ascii="Times New Roman" w:hAnsi="Times New Roman" w:cs="Times New Roman"/>
          <w:sz w:val="24"/>
          <w:szCs w:val="24"/>
          <w:shd w:val="clear" w:color="auto" w:fill="F7F7ED"/>
        </w:rPr>
        <w:t xml:space="preserve">Dyson, A. D., Goudkamp, J., &amp; Wilmot-Smith, F. (2017). Thinking in terms of </w:t>
      </w:r>
    </w:p>
    <w:p w:rsidR="00D9261E" w:rsidRPr="00D7517B" w:rsidRDefault="003E3088" w:rsidP="00F14280">
      <w:pPr>
        <w:spacing w:after="0" w:line="480" w:lineRule="auto"/>
        <w:ind w:left="720"/>
        <w:contextualSpacing/>
        <w:rPr>
          <w:rFonts w:ascii="Times New Roman" w:hAnsi="Times New Roman" w:cs="Times New Roman"/>
          <w:sz w:val="24"/>
          <w:szCs w:val="24"/>
        </w:rPr>
      </w:pPr>
      <w:r w:rsidRPr="00D7517B">
        <w:rPr>
          <w:rFonts w:ascii="Times New Roman" w:hAnsi="Times New Roman" w:cs="Times New Roman"/>
          <w:sz w:val="24"/>
          <w:szCs w:val="24"/>
          <w:shd w:val="clear" w:color="auto" w:fill="F7F7ED"/>
        </w:rPr>
        <w:t>Contract</w:t>
      </w:r>
      <w:r w:rsidR="00D9261E" w:rsidRPr="00D7517B">
        <w:rPr>
          <w:rFonts w:ascii="Times New Roman" w:hAnsi="Times New Roman" w:cs="Times New Roman"/>
          <w:sz w:val="24"/>
          <w:szCs w:val="24"/>
          <w:shd w:val="clear" w:color="auto" w:fill="F7F7ED"/>
        </w:rPr>
        <w:t xml:space="preserve"> defences. </w:t>
      </w:r>
      <w:r w:rsidR="00D9261E" w:rsidRPr="00D7517B">
        <w:rPr>
          <w:rStyle w:val="Emphasis"/>
          <w:rFonts w:ascii="Times New Roman" w:hAnsi="Times New Roman" w:cs="Times New Roman"/>
          <w:sz w:val="24"/>
          <w:szCs w:val="24"/>
          <w:shd w:val="clear" w:color="auto" w:fill="F7F7ED"/>
        </w:rPr>
        <w:t>SSRN Electron</w:t>
      </w:r>
      <w:bookmarkStart w:id="0" w:name="_GoBack"/>
      <w:bookmarkEnd w:id="0"/>
      <w:r w:rsidR="00D9261E" w:rsidRPr="00D7517B">
        <w:rPr>
          <w:rStyle w:val="Emphasis"/>
          <w:rFonts w:ascii="Times New Roman" w:hAnsi="Times New Roman" w:cs="Times New Roman"/>
          <w:sz w:val="24"/>
          <w:szCs w:val="24"/>
          <w:shd w:val="clear" w:color="auto" w:fill="F7F7ED"/>
        </w:rPr>
        <w:t>ic Journal</w:t>
      </w:r>
      <w:r w:rsidR="00D9261E" w:rsidRPr="00D7517B">
        <w:rPr>
          <w:rFonts w:ascii="Times New Roman" w:hAnsi="Times New Roman" w:cs="Times New Roman"/>
          <w:sz w:val="24"/>
          <w:szCs w:val="24"/>
          <w:shd w:val="clear" w:color="auto" w:fill="F7F7ED"/>
        </w:rPr>
        <w:t>. </w:t>
      </w:r>
      <w:r w:rsidR="00D9261E" w:rsidRPr="00D7517B">
        <w:rPr>
          <w:rStyle w:val="httpsdoiorg102139ssrn2922124"/>
          <w:rFonts w:ascii="Times New Roman" w:hAnsi="Times New Roman" w:cs="Times New Roman"/>
          <w:sz w:val="24"/>
          <w:szCs w:val="24"/>
          <w:shd w:val="clear" w:color="auto" w:fill="F7F7ED"/>
        </w:rPr>
        <w:t>https://doi.org/10.2139/ssrn.2922124</w:t>
      </w:r>
    </w:p>
    <w:sectPr w:rsidR="00D9261E" w:rsidRPr="00D7517B" w:rsidSect="000465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5DC" w:rsidRDefault="00E875DC" w:rsidP="003E3088">
      <w:pPr>
        <w:spacing w:after="0" w:line="240" w:lineRule="auto"/>
      </w:pPr>
      <w:r>
        <w:separator/>
      </w:r>
    </w:p>
  </w:endnote>
  <w:endnote w:type="continuationSeparator" w:id="0">
    <w:p w:rsidR="00E875DC" w:rsidRDefault="00E875DC" w:rsidP="003E3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5DC" w:rsidRDefault="00E875DC" w:rsidP="003E3088">
      <w:pPr>
        <w:spacing w:after="0" w:line="240" w:lineRule="auto"/>
      </w:pPr>
      <w:r>
        <w:separator/>
      </w:r>
    </w:p>
  </w:footnote>
  <w:footnote w:type="continuationSeparator" w:id="0">
    <w:p w:rsidR="00E875DC" w:rsidRDefault="00E875DC" w:rsidP="003E30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59253"/>
      <w:docPartObj>
        <w:docPartGallery w:val="Page Numbers (Top of Page)"/>
        <w:docPartUnique/>
      </w:docPartObj>
    </w:sdtPr>
    <w:sdtEndPr/>
    <w:sdtContent>
      <w:p w:rsidR="003E3088" w:rsidRPr="00F14280" w:rsidRDefault="003E3088" w:rsidP="00F14280">
        <w:pPr>
          <w:spacing w:line="480" w:lineRule="auto"/>
          <w:rPr>
            <w:rFonts w:ascii="Times New Roman" w:hAnsi="Times New Roman" w:cs="Times New Roman"/>
            <w:sz w:val="24"/>
            <w:szCs w:val="24"/>
          </w:rPr>
        </w:pPr>
        <w:r w:rsidRPr="00D9261E">
          <w:rPr>
            <w:rFonts w:ascii="Times New Roman" w:hAnsi="Times New Roman" w:cs="Times New Roman"/>
            <w:sz w:val="24"/>
            <w:szCs w:val="24"/>
          </w:rPr>
          <w:t>TERMS OF CONTRACT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875DC">
          <w:fldChar w:fldCharType="begin"/>
        </w:r>
        <w:r w:rsidR="00E875DC">
          <w:instrText xml:space="preserve"> PAGE   \* MERGEFORMAT </w:instrText>
        </w:r>
        <w:r w:rsidR="00E875DC">
          <w:fldChar w:fldCharType="separate"/>
        </w:r>
        <w:r w:rsidR="00E875DC">
          <w:rPr>
            <w:noProof/>
          </w:rPr>
          <w:t>1</w:t>
        </w:r>
        <w:r w:rsidR="00E875DC">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511C4"/>
    <w:rsid w:val="000465FD"/>
    <w:rsid w:val="000576B6"/>
    <w:rsid w:val="003C6D05"/>
    <w:rsid w:val="003E3088"/>
    <w:rsid w:val="00487892"/>
    <w:rsid w:val="004F2F37"/>
    <w:rsid w:val="007A7F2F"/>
    <w:rsid w:val="00947417"/>
    <w:rsid w:val="009511C4"/>
    <w:rsid w:val="00D7517B"/>
    <w:rsid w:val="00D9261E"/>
    <w:rsid w:val="00E875DC"/>
    <w:rsid w:val="00F14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5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9261E"/>
    <w:rPr>
      <w:i/>
      <w:iCs/>
    </w:rPr>
  </w:style>
  <w:style w:type="character" w:customStyle="1" w:styleId="httpsdoiorg102139ssrn2922124">
    <w:name w:val="https://doi.org/10.2139/ssrn.2922124"/>
    <w:basedOn w:val="DefaultParagraphFont"/>
    <w:rsid w:val="00D9261E"/>
  </w:style>
  <w:style w:type="paragraph" w:styleId="Header">
    <w:name w:val="header"/>
    <w:basedOn w:val="Normal"/>
    <w:link w:val="HeaderChar"/>
    <w:uiPriority w:val="99"/>
    <w:unhideWhenUsed/>
    <w:rsid w:val="003E3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088"/>
  </w:style>
  <w:style w:type="paragraph" w:styleId="Footer">
    <w:name w:val="footer"/>
    <w:basedOn w:val="Normal"/>
    <w:link w:val="FooterChar"/>
    <w:uiPriority w:val="99"/>
    <w:unhideWhenUsed/>
    <w:rsid w:val="003E3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0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2020-12-01T01:57:00Z</dcterms:created>
  <dcterms:modified xsi:type="dcterms:W3CDTF">2020-12-01T01:57:00Z</dcterms:modified>
</cp:coreProperties>
</file>