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607F" w:rsidRDefault="00D0607F">
      <w:pPr>
        <w:rPr>
          <w:rFonts w:ascii="Times New Roman" w:hAnsi="Times New Roman" w:cs="Times New Roman"/>
          <w:sz w:val="24"/>
          <w:szCs w:val="24"/>
        </w:rPr>
      </w:pPr>
      <w:bookmarkStart w:id="0" w:name="_GoBack"/>
      <w:bookmarkEnd w:id="0"/>
    </w:p>
    <w:p w:rsidR="00D0607F" w:rsidRDefault="00D0607F">
      <w:pPr>
        <w:rPr>
          <w:rFonts w:ascii="Times New Roman" w:hAnsi="Times New Roman" w:cs="Times New Roman"/>
          <w:sz w:val="24"/>
          <w:szCs w:val="24"/>
        </w:rPr>
      </w:pPr>
    </w:p>
    <w:p w:rsidR="00D0607F" w:rsidRDefault="00D0607F">
      <w:pPr>
        <w:rPr>
          <w:rFonts w:ascii="Times New Roman" w:hAnsi="Times New Roman" w:cs="Times New Roman"/>
          <w:sz w:val="24"/>
          <w:szCs w:val="24"/>
        </w:rPr>
      </w:pPr>
    </w:p>
    <w:p w:rsidR="00D0607F" w:rsidRDefault="00D0607F">
      <w:pPr>
        <w:rPr>
          <w:rFonts w:ascii="Times New Roman" w:hAnsi="Times New Roman" w:cs="Times New Roman"/>
          <w:sz w:val="24"/>
          <w:szCs w:val="24"/>
        </w:rPr>
      </w:pPr>
    </w:p>
    <w:p w:rsidR="00D0607F" w:rsidRDefault="00D0607F">
      <w:pPr>
        <w:rPr>
          <w:rFonts w:ascii="Times New Roman" w:hAnsi="Times New Roman" w:cs="Times New Roman"/>
          <w:sz w:val="24"/>
          <w:szCs w:val="24"/>
        </w:rPr>
      </w:pPr>
    </w:p>
    <w:p w:rsidR="00D0607F" w:rsidRDefault="00D0607F" w:rsidP="00D0607F">
      <w:pPr>
        <w:spacing w:line="480" w:lineRule="auto"/>
        <w:rPr>
          <w:rFonts w:ascii="Times New Roman" w:hAnsi="Times New Roman" w:cs="Times New Roman"/>
          <w:sz w:val="24"/>
          <w:szCs w:val="24"/>
        </w:rPr>
      </w:pPr>
    </w:p>
    <w:p w:rsidR="00D0607F" w:rsidRDefault="00D0607F" w:rsidP="00D0607F">
      <w:pPr>
        <w:spacing w:line="480" w:lineRule="auto"/>
        <w:rPr>
          <w:rFonts w:ascii="Times New Roman" w:hAnsi="Times New Roman" w:cs="Times New Roman"/>
          <w:sz w:val="24"/>
          <w:szCs w:val="24"/>
        </w:rPr>
      </w:pPr>
    </w:p>
    <w:p w:rsidR="00237A97" w:rsidRPr="00D0607F" w:rsidRDefault="00D0607F" w:rsidP="00D0607F">
      <w:pPr>
        <w:spacing w:line="480" w:lineRule="auto"/>
        <w:jc w:val="center"/>
        <w:rPr>
          <w:rFonts w:ascii="Times New Roman" w:hAnsi="Times New Roman" w:cs="Times New Roman"/>
          <w:sz w:val="24"/>
          <w:szCs w:val="24"/>
        </w:rPr>
      </w:pPr>
      <w:r w:rsidRPr="00D0607F">
        <w:rPr>
          <w:rFonts w:ascii="Times New Roman" w:hAnsi="Times New Roman" w:cs="Times New Roman"/>
          <w:sz w:val="24"/>
          <w:szCs w:val="24"/>
        </w:rPr>
        <w:t>Structure of Government and Financial Problems in Texas</w:t>
      </w:r>
    </w:p>
    <w:p w:rsidR="00D0607F" w:rsidRPr="00D0607F" w:rsidRDefault="00D0607F" w:rsidP="00D0607F">
      <w:pPr>
        <w:spacing w:line="480" w:lineRule="auto"/>
        <w:jc w:val="center"/>
        <w:rPr>
          <w:rFonts w:ascii="Times New Roman" w:hAnsi="Times New Roman" w:cs="Times New Roman"/>
          <w:sz w:val="24"/>
          <w:szCs w:val="24"/>
        </w:rPr>
      </w:pPr>
      <w:r w:rsidRPr="00D0607F">
        <w:rPr>
          <w:rFonts w:ascii="Times New Roman" w:hAnsi="Times New Roman" w:cs="Times New Roman"/>
          <w:sz w:val="24"/>
          <w:szCs w:val="24"/>
        </w:rPr>
        <w:t>Name of student</w:t>
      </w:r>
    </w:p>
    <w:p w:rsidR="00D0607F" w:rsidRPr="00D0607F" w:rsidRDefault="00D0607F" w:rsidP="00D0607F">
      <w:pPr>
        <w:spacing w:line="480" w:lineRule="auto"/>
        <w:jc w:val="center"/>
        <w:rPr>
          <w:rFonts w:ascii="Times New Roman" w:hAnsi="Times New Roman" w:cs="Times New Roman"/>
          <w:sz w:val="24"/>
          <w:szCs w:val="24"/>
        </w:rPr>
      </w:pPr>
      <w:r w:rsidRPr="00D0607F">
        <w:rPr>
          <w:rFonts w:ascii="Times New Roman" w:hAnsi="Times New Roman" w:cs="Times New Roman"/>
          <w:sz w:val="24"/>
          <w:szCs w:val="24"/>
        </w:rPr>
        <w:t>Name of tutor</w:t>
      </w:r>
    </w:p>
    <w:p w:rsidR="00D0607F" w:rsidRPr="00D0607F" w:rsidRDefault="00D0607F" w:rsidP="00D0607F">
      <w:pPr>
        <w:spacing w:line="480" w:lineRule="auto"/>
        <w:jc w:val="center"/>
        <w:rPr>
          <w:rFonts w:ascii="Times New Roman" w:hAnsi="Times New Roman" w:cs="Times New Roman"/>
          <w:sz w:val="24"/>
          <w:szCs w:val="24"/>
        </w:rPr>
      </w:pPr>
      <w:r w:rsidRPr="00D0607F">
        <w:rPr>
          <w:rFonts w:ascii="Times New Roman" w:hAnsi="Times New Roman" w:cs="Times New Roman"/>
          <w:sz w:val="24"/>
          <w:szCs w:val="24"/>
        </w:rPr>
        <w:t>The institution of affiliation</w:t>
      </w:r>
    </w:p>
    <w:p w:rsidR="00D0607F" w:rsidRPr="00D0607F" w:rsidRDefault="00D0607F" w:rsidP="00D0607F">
      <w:pPr>
        <w:spacing w:line="480" w:lineRule="auto"/>
        <w:jc w:val="center"/>
        <w:rPr>
          <w:rFonts w:ascii="Times New Roman" w:hAnsi="Times New Roman" w:cs="Times New Roman"/>
          <w:sz w:val="24"/>
          <w:szCs w:val="24"/>
        </w:rPr>
      </w:pPr>
      <w:r w:rsidRPr="00D0607F">
        <w:rPr>
          <w:rFonts w:ascii="Times New Roman" w:hAnsi="Times New Roman" w:cs="Times New Roman"/>
          <w:sz w:val="24"/>
          <w:szCs w:val="24"/>
        </w:rPr>
        <w:t>Date</w:t>
      </w:r>
    </w:p>
    <w:p w:rsidR="00D0607F" w:rsidRDefault="00D0607F"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r w:rsidRPr="006D7B3B">
        <w:rPr>
          <w:rFonts w:ascii="Times New Roman" w:hAnsi="Times New Roman" w:cs="Times New Roman"/>
          <w:sz w:val="24"/>
          <w:szCs w:val="24"/>
        </w:rPr>
        <w:lastRenderedPageBreak/>
        <w:t xml:space="preserve">The organization of the county government is enshrined in the Texas Constitution, which means that counties are functional agents of the state. There are 254 counties in Texas. The counties are legal subdivision of the state. Each county has a </w:t>
      </w:r>
      <w:proofErr w:type="gramStart"/>
      <w:r w:rsidRPr="006D7B3B">
        <w:rPr>
          <w:rFonts w:ascii="Times New Roman" w:hAnsi="Times New Roman" w:cs="Times New Roman"/>
          <w:sz w:val="24"/>
          <w:szCs w:val="24"/>
        </w:rPr>
        <w:t>commissioners</w:t>
      </w:r>
      <w:proofErr w:type="gramEnd"/>
      <w:r w:rsidRPr="006D7B3B">
        <w:rPr>
          <w:rFonts w:ascii="Times New Roman" w:hAnsi="Times New Roman" w:cs="Times New Roman"/>
          <w:sz w:val="24"/>
          <w:szCs w:val="24"/>
        </w:rPr>
        <w:t xml:space="preserve"> court. It consists of four commissioners, each elected from a commissioner’s precinct, and a county judge elected from the entire county. This body oversees the general business of the county including financial matters. The Texas Constitution established other positions in government to check on the operations of commissioners. The main effective offices include county attorneys, county and district clerks, county tre</w:t>
      </w:r>
      <w:r>
        <w:rPr>
          <w:rFonts w:ascii="Times New Roman" w:hAnsi="Times New Roman" w:cs="Times New Roman"/>
          <w:sz w:val="24"/>
          <w:szCs w:val="24"/>
        </w:rPr>
        <w:t>asures, sheriffs, among others</w:t>
      </w:r>
      <w:r w:rsidR="008B7278">
        <w:rPr>
          <w:rFonts w:ascii="Times New Roman" w:hAnsi="Times New Roman" w:cs="Times New Roman"/>
          <w:sz w:val="24"/>
          <w:szCs w:val="24"/>
        </w:rPr>
        <w:t xml:space="preserve"> (</w:t>
      </w:r>
      <w:proofErr w:type="spellStart"/>
      <w:r w:rsidR="008B7278" w:rsidRPr="008B7278">
        <w:rPr>
          <w:rFonts w:ascii="Times New Roman" w:hAnsi="Times New Roman" w:cs="Times New Roman"/>
          <w:color w:val="222222"/>
          <w:sz w:val="24"/>
          <w:szCs w:val="24"/>
          <w:shd w:val="clear" w:color="auto" w:fill="FFFFFF"/>
        </w:rPr>
        <w:t>Simek</w:t>
      </w:r>
      <w:proofErr w:type="spellEnd"/>
      <w:r w:rsidR="008B7278" w:rsidRPr="008B7278">
        <w:rPr>
          <w:rFonts w:ascii="Times New Roman" w:hAnsi="Times New Roman" w:cs="Times New Roman"/>
          <w:color w:val="222222"/>
          <w:sz w:val="24"/>
          <w:szCs w:val="24"/>
          <w:shd w:val="clear" w:color="auto" w:fill="FFFFFF"/>
        </w:rPr>
        <w:t>,</w:t>
      </w:r>
      <w:r w:rsidR="008B7278">
        <w:rPr>
          <w:rFonts w:ascii="Times New Roman" w:hAnsi="Times New Roman" w:cs="Times New Roman"/>
          <w:color w:val="222222"/>
          <w:sz w:val="24"/>
          <w:szCs w:val="24"/>
          <w:shd w:val="clear" w:color="auto" w:fill="FFFFFF"/>
        </w:rPr>
        <w:t xml:space="preserve"> 2017)</w:t>
      </w:r>
      <w:r>
        <w:rPr>
          <w:rFonts w:ascii="Times New Roman" w:hAnsi="Times New Roman" w:cs="Times New Roman"/>
          <w:sz w:val="24"/>
          <w:szCs w:val="24"/>
        </w:rPr>
        <w:t xml:space="preserve">. </w:t>
      </w:r>
    </w:p>
    <w:p w:rsidR="00A25DE3" w:rsidRDefault="00A25DE3" w:rsidP="00A25DE3">
      <w:pPr>
        <w:spacing w:line="480" w:lineRule="auto"/>
        <w:rPr>
          <w:rFonts w:ascii="Times New Roman" w:hAnsi="Times New Roman" w:cs="Times New Roman"/>
          <w:sz w:val="24"/>
          <w:szCs w:val="24"/>
        </w:rPr>
      </w:pPr>
      <w:r>
        <w:rPr>
          <w:rFonts w:ascii="Times New Roman" w:hAnsi="Times New Roman" w:cs="Times New Roman"/>
          <w:sz w:val="24"/>
          <w:szCs w:val="24"/>
        </w:rPr>
        <w:t xml:space="preserve">While many operations conducted in the counties are administered by elected officials, other functions are conducted by people employed by the </w:t>
      </w:r>
      <w:proofErr w:type="gramStart"/>
      <w:r>
        <w:rPr>
          <w:rFonts w:ascii="Times New Roman" w:hAnsi="Times New Roman" w:cs="Times New Roman"/>
          <w:sz w:val="24"/>
          <w:szCs w:val="24"/>
        </w:rPr>
        <w:t>commissioners</w:t>
      </w:r>
      <w:proofErr w:type="gramEnd"/>
      <w:r>
        <w:rPr>
          <w:rFonts w:ascii="Times New Roman" w:hAnsi="Times New Roman" w:cs="Times New Roman"/>
          <w:sz w:val="24"/>
          <w:szCs w:val="24"/>
        </w:rPr>
        <w:t xml:space="preserve"> court. These individuals are in departments like public health, public transports, just but a few. According to the 2019 population estimates of the Texas Demographic Center, there are about 1,218 incorporated Texas municipalities. Also, there are 419 cities in Texas. The major forms of city government in Texas are Mayor-council and council-manager. In a mayor-council municipality like Houston, the mayor is chief-administrator of the city. In a council-management municipality like Austin, the city council makes laws and policy decisions.</w:t>
      </w:r>
    </w:p>
    <w:p w:rsidR="00A25DE3" w:rsidRDefault="00A25DE3" w:rsidP="00A25DE3">
      <w:pPr>
        <w:spacing w:line="480" w:lineRule="auto"/>
        <w:rPr>
          <w:rFonts w:ascii="Times New Roman" w:hAnsi="Times New Roman" w:cs="Times New Roman"/>
          <w:sz w:val="24"/>
          <w:szCs w:val="24"/>
        </w:rPr>
      </w:pPr>
      <w:r>
        <w:rPr>
          <w:rFonts w:ascii="Times New Roman" w:hAnsi="Times New Roman" w:cs="Times New Roman"/>
          <w:sz w:val="24"/>
          <w:szCs w:val="24"/>
        </w:rPr>
        <w:t xml:space="preserve">Special purpose districts (SPDs) are independent government entities that exist locally and provide services like infrastructure development, water treatment, and firefighting, among others. These districts can be created by local government bodies, the Texas legislature, or the Texas Commission on Environment Quality. SPDs are governed by the </w:t>
      </w:r>
      <w:proofErr w:type="gramStart"/>
      <w:r>
        <w:rPr>
          <w:rFonts w:ascii="Times New Roman" w:hAnsi="Times New Roman" w:cs="Times New Roman"/>
          <w:sz w:val="24"/>
          <w:szCs w:val="24"/>
        </w:rPr>
        <w:t>commissioners</w:t>
      </w:r>
      <w:proofErr w:type="gramEnd"/>
      <w:r>
        <w:rPr>
          <w:rFonts w:ascii="Times New Roman" w:hAnsi="Times New Roman" w:cs="Times New Roman"/>
          <w:sz w:val="24"/>
          <w:szCs w:val="24"/>
        </w:rPr>
        <w:t xml:space="preserve"> court of the county in which they operate. The types of SPDs present in Texas include: Groundwater Management Area (GMA), Sports and Community Venue District (SCVD), County Development District (CDD), Hospital District (HD), Emergency Services District (ESD), </w:t>
      </w:r>
      <w:r>
        <w:rPr>
          <w:rFonts w:ascii="Times New Roman" w:hAnsi="Times New Roman" w:cs="Times New Roman"/>
          <w:sz w:val="24"/>
          <w:szCs w:val="24"/>
        </w:rPr>
        <w:lastRenderedPageBreak/>
        <w:t>among others. According to statistics, there were more than 3,350 SPDs including school districts in Texas. Education is also recognized as the most common form of special district. In addition to the 1,108 independent school districts (ISDs) there is one municipal school district and 50 junior/community college districts and technical training schools</w:t>
      </w:r>
      <w:r w:rsidR="00FC638A">
        <w:rPr>
          <w:rFonts w:ascii="Times New Roman" w:hAnsi="Times New Roman" w:cs="Times New Roman"/>
          <w:sz w:val="24"/>
          <w:szCs w:val="24"/>
        </w:rPr>
        <w:t xml:space="preserve"> (</w:t>
      </w:r>
      <w:proofErr w:type="spellStart"/>
      <w:r w:rsidR="00FC638A">
        <w:rPr>
          <w:rFonts w:ascii="Times New Roman" w:hAnsi="Times New Roman" w:cs="Times New Roman"/>
          <w:color w:val="222222"/>
          <w:sz w:val="24"/>
          <w:szCs w:val="24"/>
          <w:shd w:val="clear" w:color="auto" w:fill="FFFFFF"/>
        </w:rPr>
        <w:t>Caloss</w:t>
      </w:r>
      <w:proofErr w:type="spellEnd"/>
      <w:r w:rsidR="00FC638A">
        <w:rPr>
          <w:rFonts w:ascii="Times New Roman" w:hAnsi="Times New Roman" w:cs="Times New Roman"/>
          <w:color w:val="222222"/>
          <w:sz w:val="24"/>
          <w:szCs w:val="24"/>
          <w:shd w:val="clear" w:color="auto" w:fill="FFFFFF"/>
        </w:rPr>
        <w:t xml:space="preserve">, </w:t>
      </w:r>
      <w:r w:rsidR="00FC638A" w:rsidRPr="008B7278">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 xml:space="preserve">. Within the ISDs are charter, home-rule, university and military schools. The board members of schools are elected and have high visibility in the community. </w:t>
      </w:r>
    </w:p>
    <w:p w:rsidR="00A25DE3" w:rsidRDefault="00A25DE3" w:rsidP="00A25DE3">
      <w:pPr>
        <w:spacing w:line="480" w:lineRule="auto"/>
        <w:rPr>
          <w:rFonts w:ascii="Times New Roman" w:hAnsi="Times New Roman" w:cs="Times New Roman"/>
          <w:sz w:val="24"/>
          <w:szCs w:val="24"/>
        </w:rPr>
      </w:pPr>
      <w:r>
        <w:rPr>
          <w:rFonts w:ascii="Times New Roman" w:hAnsi="Times New Roman" w:cs="Times New Roman"/>
          <w:sz w:val="24"/>
          <w:szCs w:val="24"/>
        </w:rPr>
        <w:t>Local governments in Texas face a number of challenges among them financial problems. Experts note that local governments in Texas have an emerging debt problem. From money borrowed to construct infrastructure like sports facilities to rising obligations for workers’ pensions, local debt is increasing at a higher rate than the income made by local governments raising fears among administrators</w:t>
      </w:r>
      <w:r w:rsidR="00816903">
        <w:rPr>
          <w:rFonts w:ascii="Times New Roman" w:hAnsi="Times New Roman" w:cs="Times New Roman"/>
          <w:sz w:val="24"/>
          <w:szCs w:val="24"/>
        </w:rPr>
        <w:t xml:space="preserve"> (</w:t>
      </w:r>
      <w:r w:rsidR="00816903">
        <w:rPr>
          <w:rFonts w:ascii="Times New Roman" w:hAnsi="Times New Roman" w:cs="Times New Roman"/>
          <w:color w:val="222222"/>
          <w:sz w:val="24"/>
          <w:szCs w:val="24"/>
          <w:shd w:val="clear" w:color="auto" w:fill="FFFFFF"/>
        </w:rPr>
        <w:t xml:space="preserve">Keith, </w:t>
      </w:r>
      <w:r w:rsidR="00816903" w:rsidRPr="008B7278">
        <w:rPr>
          <w:rFonts w:ascii="Times New Roman" w:hAnsi="Times New Roman" w:cs="Times New Roman"/>
          <w:color w:val="222222"/>
          <w:sz w:val="24"/>
          <w:szCs w:val="24"/>
          <w:shd w:val="clear" w:color="auto" w:fill="FFFFFF"/>
        </w:rPr>
        <w:t>2020)</w:t>
      </w:r>
      <w:r>
        <w:rPr>
          <w:rFonts w:ascii="Times New Roman" w:hAnsi="Times New Roman" w:cs="Times New Roman"/>
          <w:sz w:val="24"/>
          <w:szCs w:val="24"/>
        </w:rPr>
        <w:t xml:space="preserve">. Local districts are spending huge on facilities like stadiums. Debt is also growing rapidly in the government’s retirement system for local-government workers. The retirement system is underfunded in local-government and as a result the contribution to pension systems that municipalities must make each years are rising eating up large portion of local budgets.       </w:t>
      </w:r>
    </w:p>
    <w:p w:rsidR="00A25DE3" w:rsidRPr="006D7B3B" w:rsidRDefault="00A25DE3" w:rsidP="00A25DE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rPr>
          <w:rFonts w:ascii="Times New Roman" w:hAnsi="Times New Roman" w:cs="Times New Roman"/>
          <w:sz w:val="24"/>
          <w:szCs w:val="24"/>
        </w:rPr>
      </w:pPr>
    </w:p>
    <w:p w:rsidR="00A25DE3" w:rsidRDefault="00A25DE3" w:rsidP="00A25D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A1776" w:rsidRPr="008B7278" w:rsidRDefault="001A1776" w:rsidP="001A1776">
      <w:pPr>
        <w:spacing w:line="240" w:lineRule="auto"/>
        <w:ind w:left="720" w:hanging="720"/>
        <w:rPr>
          <w:rFonts w:ascii="Times New Roman" w:hAnsi="Times New Roman" w:cs="Times New Roman"/>
          <w:color w:val="222222"/>
          <w:sz w:val="24"/>
          <w:szCs w:val="24"/>
          <w:shd w:val="clear" w:color="auto" w:fill="FFFFFF"/>
        </w:rPr>
      </w:pPr>
      <w:proofErr w:type="spellStart"/>
      <w:r w:rsidRPr="008B7278">
        <w:rPr>
          <w:rFonts w:ascii="Times New Roman" w:hAnsi="Times New Roman" w:cs="Times New Roman"/>
          <w:color w:val="222222"/>
          <w:sz w:val="24"/>
          <w:szCs w:val="24"/>
          <w:shd w:val="clear" w:color="auto" w:fill="FFFFFF"/>
        </w:rPr>
        <w:t>Caloss</w:t>
      </w:r>
      <w:proofErr w:type="spellEnd"/>
      <w:r w:rsidRPr="008B7278">
        <w:rPr>
          <w:rFonts w:ascii="Times New Roman" w:hAnsi="Times New Roman" w:cs="Times New Roman"/>
          <w:color w:val="222222"/>
          <w:sz w:val="24"/>
          <w:szCs w:val="24"/>
          <w:shd w:val="clear" w:color="auto" w:fill="FFFFFF"/>
        </w:rPr>
        <w:t>, S. (2018). </w:t>
      </w:r>
      <w:proofErr w:type="gramStart"/>
      <w:r w:rsidRPr="008B7278">
        <w:rPr>
          <w:rFonts w:ascii="Times New Roman" w:hAnsi="Times New Roman" w:cs="Times New Roman"/>
          <w:i/>
          <w:iCs/>
          <w:color w:val="222222"/>
          <w:sz w:val="24"/>
          <w:szCs w:val="24"/>
          <w:shd w:val="clear" w:color="auto" w:fill="FFFFFF"/>
        </w:rPr>
        <w:t>Analysis of financial strategies used by Texas school districts to ensure long-term financial stability</w:t>
      </w:r>
      <w:r w:rsidRPr="008B7278">
        <w:rPr>
          <w:rFonts w:ascii="Times New Roman" w:hAnsi="Times New Roman" w:cs="Times New Roman"/>
          <w:color w:val="222222"/>
          <w:sz w:val="24"/>
          <w:szCs w:val="24"/>
          <w:shd w:val="clear" w:color="auto" w:fill="FFFFFF"/>
        </w:rPr>
        <w:t> (Doctoral dissertation).</w:t>
      </w:r>
      <w:proofErr w:type="gramEnd"/>
    </w:p>
    <w:p w:rsidR="001A1776" w:rsidRPr="008B7278" w:rsidRDefault="001A1776" w:rsidP="001A1776">
      <w:pPr>
        <w:spacing w:line="240" w:lineRule="auto"/>
        <w:ind w:left="720" w:hanging="720"/>
        <w:rPr>
          <w:rFonts w:ascii="Times New Roman" w:hAnsi="Times New Roman" w:cs="Times New Roman"/>
          <w:sz w:val="24"/>
          <w:szCs w:val="24"/>
        </w:rPr>
      </w:pPr>
      <w:r w:rsidRPr="008B7278">
        <w:rPr>
          <w:rFonts w:ascii="Times New Roman" w:hAnsi="Times New Roman" w:cs="Times New Roman"/>
          <w:color w:val="222222"/>
          <w:sz w:val="24"/>
          <w:szCs w:val="24"/>
          <w:shd w:val="clear" w:color="auto" w:fill="FFFFFF"/>
        </w:rPr>
        <w:t>Keith, K. (2020). Texas Ruling Brings More ACA Uncertainty: A recent court ruling in Texas and other legal challenges raise questions about the ACA’s future even as enrollment holds steady. </w:t>
      </w:r>
      <w:r w:rsidRPr="008B7278">
        <w:rPr>
          <w:rFonts w:ascii="Times New Roman" w:hAnsi="Times New Roman" w:cs="Times New Roman"/>
          <w:i/>
          <w:iCs/>
          <w:color w:val="222222"/>
          <w:sz w:val="24"/>
          <w:szCs w:val="24"/>
          <w:shd w:val="clear" w:color="auto" w:fill="FFFFFF"/>
        </w:rPr>
        <w:t>Health Affairs</w:t>
      </w:r>
      <w:r w:rsidRPr="008B7278">
        <w:rPr>
          <w:rFonts w:ascii="Times New Roman" w:hAnsi="Times New Roman" w:cs="Times New Roman"/>
          <w:color w:val="222222"/>
          <w:sz w:val="24"/>
          <w:szCs w:val="24"/>
          <w:shd w:val="clear" w:color="auto" w:fill="FFFFFF"/>
        </w:rPr>
        <w:t>, </w:t>
      </w:r>
      <w:r w:rsidRPr="008B7278">
        <w:rPr>
          <w:rFonts w:ascii="Times New Roman" w:hAnsi="Times New Roman" w:cs="Times New Roman"/>
          <w:i/>
          <w:iCs/>
          <w:color w:val="222222"/>
          <w:sz w:val="24"/>
          <w:szCs w:val="24"/>
          <w:shd w:val="clear" w:color="auto" w:fill="FFFFFF"/>
        </w:rPr>
        <w:t>39</w:t>
      </w:r>
      <w:r w:rsidRPr="008B7278">
        <w:rPr>
          <w:rFonts w:ascii="Times New Roman" w:hAnsi="Times New Roman" w:cs="Times New Roman"/>
          <w:color w:val="222222"/>
          <w:sz w:val="24"/>
          <w:szCs w:val="24"/>
          <w:shd w:val="clear" w:color="auto" w:fill="FFFFFF"/>
        </w:rPr>
        <w:t>(2), 184-185.</w:t>
      </w:r>
    </w:p>
    <w:p w:rsidR="001A1776" w:rsidRPr="008B7278" w:rsidRDefault="001A1776" w:rsidP="001A1776">
      <w:pPr>
        <w:spacing w:line="240" w:lineRule="auto"/>
        <w:ind w:left="720" w:hanging="720"/>
        <w:rPr>
          <w:rFonts w:ascii="Times New Roman" w:hAnsi="Times New Roman" w:cs="Times New Roman"/>
          <w:sz w:val="24"/>
          <w:szCs w:val="24"/>
        </w:rPr>
      </w:pPr>
      <w:proofErr w:type="spellStart"/>
      <w:proofErr w:type="gramStart"/>
      <w:r w:rsidRPr="008B7278">
        <w:rPr>
          <w:rFonts w:ascii="Times New Roman" w:hAnsi="Times New Roman" w:cs="Times New Roman"/>
          <w:color w:val="222222"/>
          <w:sz w:val="24"/>
          <w:szCs w:val="24"/>
          <w:shd w:val="clear" w:color="auto" w:fill="FFFFFF"/>
        </w:rPr>
        <w:t>Simek</w:t>
      </w:r>
      <w:proofErr w:type="spellEnd"/>
      <w:r w:rsidRPr="008B7278">
        <w:rPr>
          <w:rFonts w:ascii="Times New Roman" w:hAnsi="Times New Roman" w:cs="Times New Roman"/>
          <w:color w:val="222222"/>
          <w:sz w:val="24"/>
          <w:szCs w:val="24"/>
          <w:shd w:val="clear" w:color="auto" w:fill="FFFFFF"/>
        </w:rPr>
        <w:t xml:space="preserve">, C., &amp; </w:t>
      </w:r>
      <w:proofErr w:type="spellStart"/>
      <w:r w:rsidRPr="008B7278">
        <w:rPr>
          <w:rFonts w:ascii="Times New Roman" w:hAnsi="Times New Roman" w:cs="Times New Roman"/>
          <w:color w:val="222222"/>
          <w:sz w:val="24"/>
          <w:szCs w:val="24"/>
          <w:shd w:val="clear" w:color="auto" w:fill="FFFFFF"/>
        </w:rPr>
        <w:t>Geiselbrecht</w:t>
      </w:r>
      <w:proofErr w:type="spellEnd"/>
      <w:r w:rsidRPr="008B7278">
        <w:rPr>
          <w:rFonts w:ascii="Times New Roman" w:hAnsi="Times New Roman" w:cs="Times New Roman"/>
          <w:color w:val="222222"/>
          <w:sz w:val="24"/>
          <w:szCs w:val="24"/>
          <w:shd w:val="clear" w:color="auto" w:fill="FFFFFF"/>
        </w:rPr>
        <w:t>, T. (2017).</w:t>
      </w:r>
      <w:proofErr w:type="gramEnd"/>
      <w:r w:rsidRPr="008B7278">
        <w:rPr>
          <w:rFonts w:ascii="Times New Roman" w:hAnsi="Times New Roman" w:cs="Times New Roman"/>
          <w:color w:val="222222"/>
          <w:sz w:val="24"/>
          <w:szCs w:val="24"/>
          <w:shd w:val="clear" w:color="auto" w:fill="FFFFFF"/>
        </w:rPr>
        <w:t> </w:t>
      </w:r>
      <w:r w:rsidRPr="008B7278">
        <w:rPr>
          <w:rFonts w:ascii="Times New Roman" w:hAnsi="Times New Roman" w:cs="Times New Roman"/>
          <w:i/>
          <w:iCs/>
          <w:color w:val="222222"/>
          <w:sz w:val="24"/>
          <w:szCs w:val="24"/>
          <w:shd w:val="clear" w:color="auto" w:fill="FFFFFF"/>
        </w:rPr>
        <w:t>Metropolitan planning organizations in Texas: overview and profiles</w:t>
      </w:r>
      <w:r w:rsidRPr="008B7278">
        <w:rPr>
          <w:rFonts w:ascii="Times New Roman" w:hAnsi="Times New Roman" w:cs="Times New Roman"/>
          <w:color w:val="222222"/>
          <w:sz w:val="24"/>
          <w:szCs w:val="24"/>
          <w:shd w:val="clear" w:color="auto" w:fill="FFFFFF"/>
        </w:rPr>
        <w:t xml:space="preserve"> (No. </w:t>
      </w:r>
      <w:proofErr w:type="gramStart"/>
      <w:r w:rsidRPr="008B7278">
        <w:rPr>
          <w:rFonts w:ascii="Times New Roman" w:hAnsi="Times New Roman" w:cs="Times New Roman"/>
          <w:color w:val="222222"/>
          <w:sz w:val="24"/>
          <w:szCs w:val="24"/>
          <w:shd w:val="clear" w:color="auto" w:fill="FFFFFF"/>
        </w:rPr>
        <w:t>PRC 17-87 F).</w:t>
      </w:r>
      <w:proofErr w:type="gramEnd"/>
      <w:r w:rsidRPr="008B7278">
        <w:rPr>
          <w:rFonts w:ascii="Times New Roman" w:hAnsi="Times New Roman" w:cs="Times New Roman"/>
          <w:color w:val="222222"/>
          <w:sz w:val="24"/>
          <w:szCs w:val="24"/>
          <w:shd w:val="clear" w:color="auto" w:fill="FFFFFF"/>
        </w:rPr>
        <w:t xml:space="preserve"> Texas A&amp;M Transportation Institute.</w:t>
      </w:r>
    </w:p>
    <w:sectPr w:rsidR="001A1776" w:rsidRPr="008B7278" w:rsidSect="00D060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01A" w:rsidRDefault="008A601A" w:rsidP="00D0607F">
      <w:pPr>
        <w:spacing w:after="0" w:line="240" w:lineRule="auto"/>
      </w:pPr>
      <w:r>
        <w:separator/>
      </w:r>
    </w:p>
  </w:endnote>
  <w:endnote w:type="continuationSeparator" w:id="0">
    <w:p w:rsidR="008A601A" w:rsidRDefault="008A601A" w:rsidP="00D06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01A" w:rsidRDefault="008A601A" w:rsidP="00D0607F">
      <w:pPr>
        <w:spacing w:after="0" w:line="240" w:lineRule="auto"/>
      </w:pPr>
      <w:r>
        <w:separator/>
      </w:r>
    </w:p>
  </w:footnote>
  <w:footnote w:type="continuationSeparator" w:id="0">
    <w:p w:rsidR="008A601A" w:rsidRDefault="008A601A" w:rsidP="00D06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9162626"/>
      <w:docPartObj>
        <w:docPartGallery w:val="Page Numbers (Top of Page)"/>
        <w:docPartUnique/>
      </w:docPartObj>
    </w:sdtPr>
    <w:sdtEndPr/>
    <w:sdtContent>
      <w:p w:rsidR="00D0607F" w:rsidRPr="00D0607F" w:rsidRDefault="00D0607F">
        <w:pPr>
          <w:pStyle w:val="Header"/>
          <w:jc w:val="right"/>
          <w:rPr>
            <w:rFonts w:ascii="Times New Roman" w:hAnsi="Times New Roman" w:cs="Times New Roman"/>
            <w:sz w:val="24"/>
            <w:szCs w:val="24"/>
          </w:rPr>
        </w:pPr>
        <w:r w:rsidRPr="00D0607F">
          <w:rPr>
            <w:rFonts w:ascii="Times New Roman" w:hAnsi="Times New Roman" w:cs="Times New Roman"/>
            <w:sz w:val="24"/>
            <w:szCs w:val="24"/>
          </w:rPr>
          <w:t>SEMINAR</w:t>
        </w:r>
        <w:r>
          <w:rPr>
            <w:rFonts w:ascii="Times New Roman" w:hAnsi="Times New Roman" w:cs="Times New Roman"/>
            <w:sz w:val="24"/>
            <w:szCs w:val="24"/>
          </w:rPr>
          <w:t xml:space="preserve">                                                                                                                                       </w:t>
        </w:r>
        <w:r w:rsidRPr="00D0607F">
          <w:rPr>
            <w:rFonts w:ascii="Times New Roman" w:hAnsi="Times New Roman" w:cs="Times New Roman"/>
            <w:sz w:val="24"/>
            <w:szCs w:val="24"/>
          </w:rPr>
          <w:fldChar w:fldCharType="begin"/>
        </w:r>
        <w:r w:rsidRPr="00D0607F">
          <w:rPr>
            <w:rFonts w:ascii="Times New Roman" w:hAnsi="Times New Roman" w:cs="Times New Roman"/>
            <w:sz w:val="24"/>
            <w:szCs w:val="24"/>
          </w:rPr>
          <w:instrText xml:space="preserve"> PAGE   \* MERGEFORMAT </w:instrText>
        </w:r>
        <w:r w:rsidRPr="00D0607F">
          <w:rPr>
            <w:rFonts w:ascii="Times New Roman" w:hAnsi="Times New Roman" w:cs="Times New Roman"/>
            <w:sz w:val="24"/>
            <w:szCs w:val="24"/>
          </w:rPr>
          <w:fldChar w:fldCharType="separate"/>
        </w:r>
        <w:r w:rsidR="00F73F71">
          <w:rPr>
            <w:rFonts w:ascii="Times New Roman" w:hAnsi="Times New Roman" w:cs="Times New Roman"/>
            <w:noProof/>
            <w:sz w:val="24"/>
            <w:szCs w:val="24"/>
          </w:rPr>
          <w:t>2</w:t>
        </w:r>
        <w:r w:rsidRPr="00D0607F">
          <w:rPr>
            <w:rFonts w:ascii="Times New Roman" w:hAnsi="Times New Roman" w:cs="Times New Roman"/>
            <w:sz w:val="24"/>
            <w:szCs w:val="24"/>
          </w:rPr>
          <w:fldChar w:fldCharType="end"/>
        </w:r>
      </w:p>
    </w:sdtContent>
  </w:sdt>
  <w:p w:rsidR="00D0607F" w:rsidRDefault="00D060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607F" w:rsidRPr="00D0607F" w:rsidRDefault="00D0607F">
    <w:pPr>
      <w:pStyle w:val="Header"/>
      <w:rPr>
        <w:rFonts w:ascii="Times New Roman" w:hAnsi="Times New Roman" w:cs="Times New Roman"/>
        <w:sz w:val="24"/>
        <w:szCs w:val="24"/>
      </w:rPr>
    </w:pPr>
    <w:r w:rsidRPr="00D0607F">
      <w:rPr>
        <w:rFonts w:ascii="Times New Roman" w:hAnsi="Times New Roman" w:cs="Times New Roman"/>
        <w:sz w:val="24"/>
        <w:szCs w:val="24"/>
      </w:rPr>
      <w:t>Running Head: SEMINAR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07F"/>
    <w:rsid w:val="001A1776"/>
    <w:rsid w:val="001F5B85"/>
    <w:rsid w:val="00237A97"/>
    <w:rsid w:val="003A2CF7"/>
    <w:rsid w:val="00816903"/>
    <w:rsid w:val="008A601A"/>
    <w:rsid w:val="008B7278"/>
    <w:rsid w:val="00A25DE3"/>
    <w:rsid w:val="00D0607F"/>
    <w:rsid w:val="00F73F71"/>
    <w:rsid w:val="00FC6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07F"/>
  </w:style>
  <w:style w:type="paragraph" w:styleId="Footer">
    <w:name w:val="footer"/>
    <w:basedOn w:val="Normal"/>
    <w:link w:val="FooterChar"/>
    <w:uiPriority w:val="99"/>
    <w:semiHidden/>
    <w:unhideWhenUsed/>
    <w:rsid w:val="00D060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60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07F"/>
  </w:style>
  <w:style w:type="paragraph" w:styleId="Footer">
    <w:name w:val="footer"/>
    <w:basedOn w:val="Normal"/>
    <w:link w:val="FooterChar"/>
    <w:uiPriority w:val="99"/>
    <w:semiHidden/>
    <w:unhideWhenUsed/>
    <w:rsid w:val="00D060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60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2020-11-17T16:59:00Z</dcterms:created>
  <dcterms:modified xsi:type="dcterms:W3CDTF">2020-11-17T16:59:00Z</dcterms:modified>
</cp:coreProperties>
</file>