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BC7E0" w14:textId="77777777" w:rsidR="003C5ED3" w:rsidRPr="003C5ED3" w:rsidRDefault="003C5ED3" w:rsidP="003C5ED3">
      <w:pPr>
        <w:spacing w:line="480" w:lineRule="auto"/>
        <w:jc w:val="center"/>
        <w:rPr>
          <w:rFonts w:ascii="Times New Roman" w:hAnsi="Times New Roman" w:cs="Times New Roman"/>
          <w:b/>
          <w:bCs/>
          <w:sz w:val="24"/>
          <w:szCs w:val="24"/>
        </w:rPr>
      </w:pPr>
    </w:p>
    <w:p w14:paraId="35F153FD" w14:textId="77777777" w:rsidR="003C5ED3" w:rsidRPr="003C5ED3" w:rsidRDefault="003C5ED3" w:rsidP="003C5ED3">
      <w:pPr>
        <w:spacing w:line="480" w:lineRule="auto"/>
        <w:jc w:val="center"/>
        <w:rPr>
          <w:rFonts w:ascii="Times New Roman" w:hAnsi="Times New Roman" w:cs="Times New Roman"/>
          <w:b/>
          <w:bCs/>
          <w:sz w:val="24"/>
          <w:szCs w:val="24"/>
        </w:rPr>
      </w:pPr>
    </w:p>
    <w:p w14:paraId="78C068BC" w14:textId="77777777" w:rsidR="003C5ED3" w:rsidRPr="003C5ED3" w:rsidRDefault="003C5ED3" w:rsidP="003C5ED3">
      <w:pPr>
        <w:spacing w:line="480" w:lineRule="auto"/>
        <w:jc w:val="center"/>
        <w:rPr>
          <w:rFonts w:ascii="Times New Roman" w:hAnsi="Times New Roman" w:cs="Times New Roman"/>
          <w:b/>
          <w:bCs/>
          <w:sz w:val="24"/>
          <w:szCs w:val="24"/>
        </w:rPr>
      </w:pPr>
    </w:p>
    <w:p w14:paraId="6EB1D377" w14:textId="77777777" w:rsidR="003C5ED3" w:rsidRPr="003C5ED3" w:rsidRDefault="003C5ED3" w:rsidP="003C5ED3">
      <w:pPr>
        <w:spacing w:line="480" w:lineRule="auto"/>
        <w:jc w:val="center"/>
        <w:rPr>
          <w:rFonts w:ascii="Times New Roman" w:hAnsi="Times New Roman" w:cs="Times New Roman"/>
          <w:b/>
          <w:bCs/>
          <w:sz w:val="24"/>
          <w:szCs w:val="24"/>
        </w:rPr>
      </w:pPr>
    </w:p>
    <w:p w14:paraId="125BCE01" w14:textId="69E4C964" w:rsidR="003C5ED3" w:rsidRPr="003C5ED3" w:rsidRDefault="003C5ED3" w:rsidP="003C5ED3">
      <w:pPr>
        <w:spacing w:line="480" w:lineRule="auto"/>
        <w:jc w:val="center"/>
        <w:rPr>
          <w:rFonts w:ascii="Times New Roman" w:hAnsi="Times New Roman" w:cs="Times New Roman"/>
          <w:b/>
          <w:bCs/>
          <w:sz w:val="24"/>
          <w:szCs w:val="24"/>
        </w:rPr>
      </w:pPr>
      <w:r w:rsidRPr="003C5ED3">
        <w:rPr>
          <w:rFonts w:ascii="Times New Roman" w:hAnsi="Times New Roman" w:cs="Times New Roman"/>
          <w:b/>
          <w:bCs/>
          <w:sz w:val="24"/>
          <w:szCs w:val="24"/>
        </w:rPr>
        <w:t>The Constitution in Action</w:t>
      </w:r>
    </w:p>
    <w:p w14:paraId="66FAC830" w14:textId="77777777" w:rsidR="003C5ED3" w:rsidRPr="003C5ED3" w:rsidRDefault="003C5ED3" w:rsidP="003C5ED3">
      <w:pPr>
        <w:spacing w:line="480" w:lineRule="auto"/>
        <w:jc w:val="center"/>
        <w:rPr>
          <w:rFonts w:ascii="Times New Roman" w:hAnsi="Times New Roman" w:cs="Times New Roman"/>
          <w:sz w:val="24"/>
          <w:szCs w:val="24"/>
        </w:rPr>
      </w:pPr>
    </w:p>
    <w:p w14:paraId="3DDED2BF" w14:textId="77777777" w:rsidR="003C5ED3" w:rsidRPr="003C5ED3" w:rsidRDefault="003C5ED3" w:rsidP="003C5ED3">
      <w:pPr>
        <w:spacing w:after="0" w:line="480" w:lineRule="auto"/>
        <w:contextualSpacing/>
        <w:jc w:val="center"/>
        <w:rPr>
          <w:rFonts w:ascii="Times New Roman" w:hAnsi="Times New Roman" w:cs="Times New Roman"/>
          <w:b/>
          <w:sz w:val="24"/>
          <w:szCs w:val="24"/>
        </w:rPr>
      </w:pPr>
    </w:p>
    <w:p w14:paraId="2847C626" w14:textId="77777777" w:rsidR="003C5ED3" w:rsidRPr="003C5ED3" w:rsidRDefault="003C5ED3" w:rsidP="003C5ED3">
      <w:pPr>
        <w:spacing w:after="0" w:line="480" w:lineRule="auto"/>
        <w:contextualSpacing/>
        <w:jc w:val="center"/>
        <w:rPr>
          <w:rFonts w:ascii="Times New Roman" w:hAnsi="Times New Roman" w:cs="Times New Roman"/>
          <w:b/>
          <w:sz w:val="24"/>
          <w:szCs w:val="24"/>
        </w:rPr>
      </w:pPr>
    </w:p>
    <w:p w14:paraId="648974B2" w14:textId="77777777" w:rsidR="003C5ED3" w:rsidRPr="003C5ED3" w:rsidRDefault="003C5ED3" w:rsidP="003C5ED3">
      <w:pPr>
        <w:spacing w:after="0" w:line="480" w:lineRule="auto"/>
        <w:contextualSpacing/>
        <w:jc w:val="center"/>
        <w:rPr>
          <w:rFonts w:ascii="Times New Roman" w:hAnsi="Times New Roman" w:cs="Times New Roman"/>
          <w:b/>
          <w:sz w:val="24"/>
          <w:szCs w:val="24"/>
        </w:rPr>
      </w:pPr>
    </w:p>
    <w:p w14:paraId="084EC927" w14:textId="77777777" w:rsidR="003C5ED3" w:rsidRPr="003C5ED3" w:rsidRDefault="003C5ED3" w:rsidP="003C5ED3">
      <w:pPr>
        <w:spacing w:after="0" w:line="480" w:lineRule="auto"/>
        <w:contextualSpacing/>
        <w:jc w:val="center"/>
        <w:rPr>
          <w:rFonts w:ascii="Times New Roman" w:hAnsi="Times New Roman" w:cs="Times New Roman"/>
          <w:sz w:val="24"/>
          <w:szCs w:val="24"/>
        </w:rPr>
      </w:pPr>
      <w:r w:rsidRPr="003C5ED3">
        <w:rPr>
          <w:rFonts w:ascii="Times New Roman" w:hAnsi="Times New Roman" w:cs="Times New Roman"/>
          <w:sz w:val="24"/>
          <w:szCs w:val="24"/>
        </w:rPr>
        <w:t>Student’s Name</w:t>
      </w:r>
    </w:p>
    <w:p w14:paraId="518793A4" w14:textId="77777777" w:rsidR="003C5ED3" w:rsidRPr="003C5ED3" w:rsidRDefault="003C5ED3" w:rsidP="003C5ED3">
      <w:pPr>
        <w:spacing w:after="0" w:line="480" w:lineRule="auto"/>
        <w:contextualSpacing/>
        <w:jc w:val="center"/>
        <w:rPr>
          <w:rFonts w:ascii="Times New Roman" w:hAnsi="Times New Roman" w:cs="Times New Roman"/>
          <w:sz w:val="24"/>
          <w:szCs w:val="24"/>
        </w:rPr>
      </w:pPr>
      <w:r w:rsidRPr="003C5ED3">
        <w:rPr>
          <w:rFonts w:ascii="Times New Roman" w:hAnsi="Times New Roman" w:cs="Times New Roman"/>
          <w:sz w:val="24"/>
          <w:szCs w:val="24"/>
        </w:rPr>
        <w:t>Institutional Affiliation</w:t>
      </w:r>
    </w:p>
    <w:p w14:paraId="5937D670" w14:textId="77777777" w:rsidR="003C5ED3" w:rsidRPr="003C5ED3" w:rsidRDefault="003C5ED3" w:rsidP="003C5ED3">
      <w:pPr>
        <w:spacing w:after="0" w:line="480" w:lineRule="auto"/>
        <w:contextualSpacing/>
        <w:jc w:val="center"/>
        <w:rPr>
          <w:rFonts w:ascii="Times New Roman" w:hAnsi="Times New Roman" w:cs="Times New Roman"/>
          <w:sz w:val="24"/>
          <w:szCs w:val="24"/>
        </w:rPr>
      </w:pPr>
      <w:r w:rsidRPr="003C5ED3">
        <w:rPr>
          <w:rFonts w:ascii="Times New Roman" w:hAnsi="Times New Roman" w:cs="Times New Roman"/>
          <w:sz w:val="24"/>
          <w:szCs w:val="24"/>
        </w:rPr>
        <w:t>Course Name</w:t>
      </w:r>
    </w:p>
    <w:p w14:paraId="4E2A7B0D" w14:textId="77777777" w:rsidR="003C5ED3" w:rsidRPr="003C5ED3" w:rsidRDefault="003C5ED3" w:rsidP="003C5ED3">
      <w:pPr>
        <w:spacing w:after="0" w:line="480" w:lineRule="auto"/>
        <w:contextualSpacing/>
        <w:jc w:val="center"/>
        <w:rPr>
          <w:rFonts w:ascii="Times New Roman" w:hAnsi="Times New Roman" w:cs="Times New Roman"/>
          <w:sz w:val="24"/>
          <w:szCs w:val="24"/>
        </w:rPr>
      </w:pPr>
      <w:r w:rsidRPr="003C5ED3">
        <w:rPr>
          <w:rFonts w:ascii="Times New Roman" w:hAnsi="Times New Roman" w:cs="Times New Roman"/>
          <w:sz w:val="24"/>
          <w:szCs w:val="24"/>
        </w:rPr>
        <w:t>Instructors’ Name</w:t>
      </w:r>
    </w:p>
    <w:p w14:paraId="4EBF7EEF" w14:textId="77777777" w:rsidR="003C5ED3" w:rsidRPr="003C5ED3" w:rsidRDefault="003C5ED3" w:rsidP="003C5ED3">
      <w:pPr>
        <w:spacing w:after="0" w:line="480" w:lineRule="auto"/>
        <w:contextualSpacing/>
        <w:jc w:val="center"/>
        <w:rPr>
          <w:rFonts w:ascii="Times New Roman" w:hAnsi="Times New Roman" w:cs="Times New Roman"/>
          <w:sz w:val="24"/>
          <w:szCs w:val="24"/>
        </w:rPr>
      </w:pPr>
      <w:r w:rsidRPr="003C5ED3">
        <w:rPr>
          <w:rFonts w:ascii="Times New Roman" w:hAnsi="Times New Roman" w:cs="Times New Roman"/>
          <w:sz w:val="24"/>
          <w:szCs w:val="24"/>
        </w:rPr>
        <w:t>Date</w:t>
      </w:r>
    </w:p>
    <w:p w14:paraId="23756F2B" w14:textId="77777777" w:rsidR="003C5ED3" w:rsidRPr="003C5ED3" w:rsidRDefault="003C5ED3" w:rsidP="003C5ED3">
      <w:pPr>
        <w:spacing w:after="0" w:line="480" w:lineRule="auto"/>
        <w:contextualSpacing/>
        <w:rPr>
          <w:rFonts w:ascii="Times New Roman" w:hAnsi="Times New Roman" w:cs="Times New Roman"/>
          <w:sz w:val="24"/>
          <w:szCs w:val="24"/>
        </w:rPr>
      </w:pPr>
    </w:p>
    <w:p w14:paraId="6B367E04" w14:textId="77777777" w:rsidR="003C5ED3" w:rsidRPr="003C5ED3" w:rsidRDefault="003C5ED3" w:rsidP="003C5ED3">
      <w:pPr>
        <w:spacing w:after="0" w:line="480" w:lineRule="auto"/>
        <w:contextualSpacing/>
        <w:rPr>
          <w:rFonts w:ascii="Times New Roman" w:hAnsi="Times New Roman" w:cs="Times New Roman"/>
          <w:sz w:val="24"/>
          <w:szCs w:val="24"/>
        </w:rPr>
      </w:pPr>
    </w:p>
    <w:p w14:paraId="248D3E8A" w14:textId="77777777" w:rsidR="003C5ED3" w:rsidRPr="003C5ED3" w:rsidRDefault="003C5ED3" w:rsidP="003C5ED3">
      <w:pPr>
        <w:spacing w:after="0" w:line="480" w:lineRule="auto"/>
        <w:contextualSpacing/>
        <w:rPr>
          <w:rFonts w:ascii="Times New Roman" w:hAnsi="Times New Roman" w:cs="Times New Roman"/>
          <w:sz w:val="24"/>
          <w:szCs w:val="24"/>
        </w:rPr>
      </w:pPr>
    </w:p>
    <w:p w14:paraId="59A4FAF0" w14:textId="77777777" w:rsidR="003C5ED3" w:rsidRPr="003C5ED3" w:rsidRDefault="003C5ED3" w:rsidP="003C5ED3">
      <w:pPr>
        <w:spacing w:line="480" w:lineRule="auto"/>
        <w:rPr>
          <w:rFonts w:ascii="Times New Roman" w:hAnsi="Times New Roman" w:cs="Times New Roman"/>
          <w:sz w:val="24"/>
          <w:szCs w:val="24"/>
        </w:rPr>
      </w:pPr>
    </w:p>
    <w:p w14:paraId="293BBBFB" w14:textId="77777777" w:rsidR="003C5ED3" w:rsidRPr="003C5ED3" w:rsidRDefault="003C5ED3" w:rsidP="003C5ED3">
      <w:pPr>
        <w:spacing w:line="480" w:lineRule="auto"/>
        <w:rPr>
          <w:rFonts w:ascii="Times New Roman" w:hAnsi="Times New Roman" w:cs="Times New Roman"/>
          <w:sz w:val="24"/>
          <w:szCs w:val="24"/>
        </w:rPr>
      </w:pPr>
    </w:p>
    <w:p w14:paraId="73A74A25" w14:textId="77777777" w:rsidR="003C5ED3" w:rsidRPr="003C5ED3" w:rsidRDefault="003C5ED3" w:rsidP="003C5ED3">
      <w:pPr>
        <w:spacing w:line="480" w:lineRule="auto"/>
        <w:rPr>
          <w:rFonts w:ascii="Times New Roman" w:hAnsi="Times New Roman" w:cs="Times New Roman"/>
          <w:sz w:val="24"/>
          <w:szCs w:val="24"/>
        </w:rPr>
      </w:pPr>
    </w:p>
    <w:p w14:paraId="73D475F5" w14:textId="77777777" w:rsidR="003C5ED3" w:rsidRPr="003C5ED3" w:rsidRDefault="003C5ED3" w:rsidP="003C5ED3">
      <w:pPr>
        <w:spacing w:line="480" w:lineRule="auto"/>
        <w:rPr>
          <w:rFonts w:ascii="Times New Roman" w:hAnsi="Times New Roman" w:cs="Times New Roman"/>
          <w:sz w:val="24"/>
          <w:szCs w:val="24"/>
        </w:rPr>
      </w:pPr>
    </w:p>
    <w:p w14:paraId="264C8310" w14:textId="46BE0A33" w:rsidR="003C5ED3" w:rsidRDefault="003C5ED3" w:rsidP="003C5ED3">
      <w:pPr>
        <w:spacing w:line="480" w:lineRule="auto"/>
        <w:jc w:val="center"/>
        <w:rPr>
          <w:rFonts w:ascii="Times New Roman" w:hAnsi="Times New Roman" w:cs="Times New Roman"/>
          <w:b/>
          <w:bCs/>
          <w:sz w:val="24"/>
          <w:szCs w:val="24"/>
        </w:rPr>
      </w:pPr>
      <w:r w:rsidRPr="003C5ED3">
        <w:rPr>
          <w:rFonts w:ascii="Times New Roman" w:hAnsi="Times New Roman" w:cs="Times New Roman"/>
          <w:b/>
          <w:bCs/>
          <w:sz w:val="24"/>
          <w:szCs w:val="24"/>
        </w:rPr>
        <w:lastRenderedPageBreak/>
        <w:t>The Constitution in Action</w:t>
      </w:r>
    </w:p>
    <w:p w14:paraId="039A20E5" w14:textId="1C67FCC0" w:rsidR="003C5ED3" w:rsidRDefault="00084D53" w:rsidP="00084D53">
      <w:pPr>
        <w:spacing w:line="480" w:lineRule="auto"/>
        <w:ind w:firstLine="720"/>
        <w:rPr>
          <w:rFonts w:ascii="Times New Roman" w:hAnsi="Times New Roman" w:cs="Times New Roman"/>
          <w:sz w:val="24"/>
          <w:szCs w:val="24"/>
        </w:rPr>
      </w:pPr>
      <w:r>
        <w:rPr>
          <w:rFonts w:ascii="Times New Roman" w:hAnsi="Times New Roman" w:cs="Times New Roman"/>
          <w:sz w:val="24"/>
          <w:szCs w:val="24"/>
        </w:rPr>
        <w:t>Earl</w:t>
      </w:r>
      <w:r w:rsidR="00F66AA5">
        <w:rPr>
          <w:rFonts w:ascii="Times New Roman" w:hAnsi="Times New Roman" w:cs="Times New Roman"/>
          <w:sz w:val="24"/>
          <w:szCs w:val="24"/>
        </w:rPr>
        <w:t>y</w:t>
      </w:r>
      <w:r>
        <w:rPr>
          <w:rFonts w:ascii="Times New Roman" w:hAnsi="Times New Roman" w:cs="Times New Roman"/>
          <w:sz w:val="24"/>
          <w:szCs w:val="24"/>
        </w:rPr>
        <w:t xml:space="preserve"> this year the appeals court ruled that the emoluments lawsuit against </w:t>
      </w:r>
      <w:r w:rsidR="00150D39">
        <w:rPr>
          <w:rFonts w:ascii="Times New Roman" w:hAnsi="Times New Roman" w:cs="Times New Roman"/>
          <w:sz w:val="24"/>
          <w:szCs w:val="24"/>
        </w:rPr>
        <w:t>P</w:t>
      </w:r>
      <w:r>
        <w:rPr>
          <w:rFonts w:ascii="Times New Roman" w:hAnsi="Times New Roman" w:cs="Times New Roman"/>
          <w:sz w:val="24"/>
          <w:szCs w:val="24"/>
        </w:rPr>
        <w:t>resident Trump can proceed. The suit in question alleges that the president is in violation of the constitution</w:t>
      </w:r>
      <w:r w:rsidR="00150D39">
        <w:rPr>
          <w:rFonts w:ascii="Times New Roman" w:hAnsi="Times New Roman" w:cs="Times New Roman"/>
          <w:sz w:val="24"/>
          <w:szCs w:val="24"/>
        </w:rPr>
        <w:t>al</w:t>
      </w:r>
      <w:r>
        <w:rPr>
          <w:rFonts w:ascii="Times New Roman" w:hAnsi="Times New Roman" w:cs="Times New Roman"/>
          <w:sz w:val="24"/>
          <w:szCs w:val="24"/>
        </w:rPr>
        <w:t xml:space="preserve"> emoluments clause which prohibits him from accepting money or gifts from any foreign entities. The clause allows the president to receive a salary while in the </w:t>
      </w:r>
      <w:r w:rsidR="00150D39">
        <w:rPr>
          <w:rFonts w:ascii="Times New Roman" w:hAnsi="Times New Roman" w:cs="Times New Roman"/>
          <w:sz w:val="24"/>
          <w:szCs w:val="24"/>
        </w:rPr>
        <w:t>W</w:t>
      </w:r>
      <w:r>
        <w:rPr>
          <w:rFonts w:ascii="Times New Roman" w:hAnsi="Times New Roman" w:cs="Times New Roman"/>
          <w:sz w:val="24"/>
          <w:szCs w:val="24"/>
        </w:rPr>
        <w:t xml:space="preserve">hite House but prohibits the commander in chief from earning </w:t>
      </w:r>
      <w:r w:rsidR="0099650E">
        <w:rPr>
          <w:rFonts w:ascii="Times New Roman" w:hAnsi="Times New Roman" w:cs="Times New Roman"/>
          <w:sz w:val="24"/>
          <w:szCs w:val="24"/>
        </w:rPr>
        <w:t>any</w:t>
      </w:r>
      <w:r>
        <w:rPr>
          <w:rFonts w:ascii="Times New Roman" w:hAnsi="Times New Roman" w:cs="Times New Roman"/>
          <w:sz w:val="24"/>
          <w:szCs w:val="24"/>
        </w:rPr>
        <w:t xml:space="preserve"> outside financial profits. The lawsuit presented by D.C. and Maryland claims that president Trump continually has leases and ownership of Trump properties by foreign government-owned entities. It violates the emoluments clause because f</w:t>
      </w:r>
      <w:r w:rsidR="00150D39">
        <w:rPr>
          <w:rFonts w:ascii="Times New Roman" w:hAnsi="Times New Roman" w:cs="Times New Roman"/>
          <w:sz w:val="24"/>
          <w:szCs w:val="24"/>
        </w:rPr>
        <w:t>oreign governments should not compensate federal official</w:t>
      </w:r>
      <w:r>
        <w:rPr>
          <w:rFonts w:ascii="Times New Roman" w:hAnsi="Times New Roman" w:cs="Times New Roman"/>
          <w:sz w:val="24"/>
          <w:szCs w:val="24"/>
        </w:rPr>
        <w:t>s in any way.</w:t>
      </w:r>
      <w:r w:rsidR="0099650E">
        <w:rPr>
          <w:rFonts w:ascii="Times New Roman" w:hAnsi="Times New Roman" w:cs="Times New Roman"/>
          <w:sz w:val="24"/>
          <w:szCs w:val="24"/>
        </w:rPr>
        <w:t xml:space="preserve"> The lawsuit was revived because the president had not sought permission from the congress before transacting with foreign entities</w:t>
      </w:r>
      <w:r w:rsidR="00C76FEB" w:rsidRPr="00C76FEB">
        <w:rPr>
          <w:rFonts w:ascii="Times New Roman" w:hAnsi="Times New Roman" w:cs="Times New Roman"/>
          <w:color w:val="222222"/>
          <w:sz w:val="24"/>
          <w:szCs w:val="24"/>
          <w:shd w:val="clear" w:color="auto" w:fill="FFFFFF"/>
        </w:rPr>
        <w:t xml:space="preserve"> </w:t>
      </w:r>
      <w:r w:rsidR="00C76FEB">
        <w:rPr>
          <w:rFonts w:ascii="Times New Roman" w:hAnsi="Times New Roman" w:cs="Times New Roman"/>
          <w:color w:val="222222"/>
          <w:sz w:val="24"/>
          <w:szCs w:val="24"/>
          <w:shd w:val="clear" w:color="auto" w:fill="FFFFFF"/>
        </w:rPr>
        <w:t>(</w:t>
      </w:r>
      <w:r w:rsidR="00C76FEB" w:rsidRPr="00C76FEB">
        <w:rPr>
          <w:rFonts w:ascii="Times New Roman" w:hAnsi="Times New Roman" w:cs="Times New Roman"/>
          <w:color w:val="222222"/>
          <w:sz w:val="24"/>
          <w:szCs w:val="24"/>
          <w:shd w:val="clear" w:color="auto" w:fill="FFFFFF"/>
        </w:rPr>
        <w:t>Kaiser,</w:t>
      </w:r>
      <w:r w:rsidR="00C76FEB">
        <w:rPr>
          <w:rFonts w:ascii="Times New Roman" w:hAnsi="Times New Roman" w:cs="Times New Roman"/>
          <w:color w:val="222222"/>
          <w:sz w:val="24"/>
          <w:szCs w:val="24"/>
          <w:shd w:val="clear" w:color="auto" w:fill="FFFFFF"/>
        </w:rPr>
        <w:t xml:space="preserve"> 2019).</w:t>
      </w:r>
    </w:p>
    <w:p w14:paraId="29285AC3" w14:textId="7CED4495" w:rsidR="0099650E" w:rsidRDefault="0099650E" w:rsidP="00084D53">
      <w:pPr>
        <w:spacing w:line="480" w:lineRule="auto"/>
        <w:ind w:firstLine="720"/>
        <w:rPr>
          <w:rFonts w:ascii="Times New Roman" w:hAnsi="Times New Roman" w:cs="Times New Roman"/>
          <w:sz w:val="24"/>
          <w:szCs w:val="24"/>
        </w:rPr>
      </w:pPr>
      <w:r>
        <w:rPr>
          <w:rFonts w:ascii="Times New Roman" w:hAnsi="Times New Roman" w:cs="Times New Roman"/>
          <w:sz w:val="24"/>
          <w:szCs w:val="24"/>
        </w:rPr>
        <w:t>Following this decision by the appeals court to revive the lawsuit, the president requires a decision from the supreme court before he can block D.C. and Maryland from requesting his business and financial records. The framers of the constitution believed that</w:t>
      </w:r>
      <w:r w:rsidR="0066268D">
        <w:rPr>
          <w:rFonts w:ascii="Times New Roman" w:hAnsi="Times New Roman" w:cs="Times New Roman"/>
          <w:sz w:val="24"/>
          <w:szCs w:val="24"/>
        </w:rPr>
        <w:t xml:space="preserve"> federal official</w:t>
      </w:r>
      <w:r w:rsidR="00150D39">
        <w:rPr>
          <w:rFonts w:ascii="Times New Roman" w:hAnsi="Times New Roman" w:cs="Times New Roman"/>
          <w:sz w:val="24"/>
          <w:szCs w:val="24"/>
        </w:rPr>
        <w:t xml:space="preserve">s </w:t>
      </w:r>
      <w:r w:rsidR="0066268D">
        <w:rPr>
          <w:rFonts w:ascii="Times New Roman" w:hAnsi="Times New Roman" w:cs="Times New Roman"/>
          <w:sz w:val="24"/>
          <w:szCs w:val="24"/>
        </w:rPr>
        <w:t xml:space="preserve">such as the president would be uniquely susceptible to the corrupting </w:t>
      </w:r>
      <w:r w:rsidR="002E14FF">
        <w:rPr>
          <w:rFonts w:ascii="Times New Roman" w:hAnsi="Times New Roman" w:cs="Times New Roman"/>
          <w:sz w:val="24"/>
          <w:szCs w:val="24"/>
        </w:rPr>
        <w:t>sway</w:t>
      </w:r>
      <w:r w:rsidR="0066268D">
        <w:rPr>
          <w:rFonts w:ascii="Times New Roman" w:hAnsi="Times New Roman" w:cs="Times New Roman"/>
          <w:sz w:val="24"/>
          <w:szCs w:val="24"/>
        </w:rPr>
        <w:t xml:space="preserve"> of a foreign </w:t>
      </w:r>
      <w:r w:rsidR="00150D39">
        <w:rPr>
          <w:rFonts w:ascii="Times New Roman" w:hAnsi="Times New Roman" w:cs="Times New Roman"/>
          <w:sz w:val="24"/>
          <w:szCs w:val="24"/>
        </w:rPr>
        <w:t>entity</w:t>
      </w:r>
      <w:r w:rsidR="002E14FF">
        <w:rPr>
          <w:rFonts w:ascii="Times New Roman" w:hAnsi="Times New Roman" w:cs="Times New Roman"/>
          <w:sz w:val="24"/>
          <w:szCs w:val="24"/>
        </w:rPr>
        <w:t>. For this reason, the foreign emoluments clause</w:t>
      </w:r>
      <w:r w:rsidR="00150D39">
        <w:rPr>
          <w:rFonts w:ascii="Times New Roman" w:hAnsi="Times New Roman" w:cs="Times New Roman"/>
          <w:sz w:val="24"/>
          <w:szCs w:val="24"/>
        </w:rPr>
        <w:t>,</w:t>
      </w:r>
      <w:r w:rsidR="002E14FF">
        <w:rPr>
          <w:rFonts w:ascii="Times New Roman" w:hAnsi="Times New Roman" w:cs="Times New Roman"/>
          <w:sz w:val="24"/>
          <w:szCs w:val="24"/>
        </w:rPr>
        <w:t xml:space="preserve"> when enforced shields federal officers against corruption. The 4</w:t>
      </w:r>
      <w:r w:rsidR="002E14FF" w:rsidRPr="002E14FF">
        <w:rPr>
          <w:rFonts w:ascii="Times New Roman" w:hAnsi="Times New Roman" w:cs="Times New Roman"/>
          <w:sz w:val="24"/>
          <w:szCs w:val="24"/>
          <w:vertAlign w:val="superscript"/>
        </w:rPr>
        <w:t>th</w:t>
      </w:r>
      <w:r w:rsidR="002E14FF">
        <w:rPr>
          <w:rFonts w:ascii="Times New Roman" w:hAnsi="Times New Roman" w:cs="Times New Roman"/>
          <w:sz w:val="24"/>
          <w:szCs w:val="24"/>
        </w:rPr>
        <w:t xml:space="preserve"> circuit court of appeal in Virginia allowed the lawsuit by the states suing the president to proceed to the next stage of fact-gathering. If the violations of the emoluments clause by Trump can be proven</w:t>
      </w:r>
      <w:r w:rsidR="00150D39">
        <w:rPr>
          <w:rFonts w:ascii="Times New Roman" w:hAnsi="Times New Roman" w:cs="Times New Roman"/>
          <w:sz w:val="24"/>
          <w:szCs w:val="24"/>
        </w:rPr>
        <w:t>,</w:t>
      </w:r>
      <w:r w:rsidR="002E14FF">
        <w:rPr>
          <w:rFonts w:ascii="Times New Roman" w:hAnsi="Times New Roman" w:cs="Times New Roman"/>
          <w:sz w:val="24"/>
          <w:szCs w:val="24"/>
        </w:rPr>
        <w:t xml:space="preserve"> then the proof of harm would undermine the legitimacy of democratic </w:t>
      </w:r>
      <w:r w:rsidR="000D75B0">
        <w:rPr>
          <w:rFonts w:ascii="Times New Roman" w:hAnsi="Times New Roman" w:cs="Times New Roman"/>
          <w:sz w:val="24"/>
          <w:szCs w:val="24"/>
        </w:rPr>
        <w:t>institutions in</w:t>
      </w:r>
      <w:r w:rsidR="002E14FF">
        <w:rPr>
          <w:rFonts w:ascii="Times New Roman" w:hAnsi="Times New Roman" w:cs="Times New Roman"/>
          <w:sz w:val="24"/>
          <w:szCs w:val="24"/>
        </w:rPr>
        <w:t xml:space="preserve"> the US</w:t>
      </w:r>
      <w:r w:rsidR="000D75B0">
        <w:rPr>
          <w:rFonts w:ascii="Times New Roman" w:hAnsi="Times New Roman" w:cs="Times New Roman"/>
          <w:sz w:val="24"/>
          <w:szCs w:val="24"/>
        </w:rPr>
        <w:t xml:space="preserve">. The only remedy would be to impeach the president on these grounds. The lawsuit proves that every </w:t>
      </w:r>
      <w:r w:rsidR="00150D39">
        <w:rPr>
          <w:rFonts w:ascii="Times New Roman" w:hAnsi="Times New Roman" w:cs="Times New Roman"/>
          <w:sz w:val="24"/>
          <w:szCs w:val="24"/>
        </w:rPr>
        <w:t>A</w:t>
      </w:r>
      <w:r w:rsidR="000D75B0">
        <w:rPr>
          <w:rFonts w:ascii="Times New Roman" w:hAnsi="Times New Roman" w:cs="Times New Roman"/>
          <w:sz w:val="24"/>
          <w:szCs w:val="24"/>
        </w:rPr>
        <w:t>merican citizen is subject to the constitution</w:t>
      </w:r>
      <w:r w:rsidR="00150D39">
        <w:rPr>
          <w:rFonts w:ascii="Times New Roman" w:hAnsi="Times New Roman" w:cs="Times New Roman"/>
          <w:sz w:val="24"/>
          <w:szCs w:val="24"/>
        </w:rPr>
        <w:t>,</w:t>
      </w:r>
      <w:r w:rsidR="000D75B0">
        <w:rPr>
          <w:rFonts w:ascii="Times New Roman" w:hAnsi="Times New Roman" w:cs="Times New Roman"/>
          <w:sz w:val="24"/>
          <w:szCs w:val="24"/>
        </w:rPr>
        <w:t xml:space="preserve"> and this includes the president with federal courts tasked to interpret and enforce the constitution.</w:t>
      </w:r>
    </w:p>
    <w:p w14:paraId="7CB584E4" w14:textId="5AB80780" w:rsidR="000D75B0" w:rsidRDefault="000D75B0" w:rsidP="00084D53">
      <w:pPr>
        <w:spacing w:line="480" w:lineRule="auto"/>
        <w:ind w:firstLine="720"/>
        <w:rPr>
          <w:rFonts w:ascii="Times New Roman" w:hAnsi="Times New Roman" w:cs="Times New Roman"/>
          <w:sz w:val="24"/>
          <w:szCs w:val="24"/>
        </w:rPr>
      </w:pPr>
    </w:p>
    <w:p w14:paraId="6104B042" w14:textId="5456FAB7" w:rsidR="000D75B0" w:rsidRDefault="00A1016E" w:rsidP="00084D53">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President George Washington believed in a strong executive branch of the government and many of</w:t>
      </w:r>
      <w:r w:rsidR="00E32140">
        <w:rPr>
          <w:rFonts w:ascii="Times New Roman" w:hAnsi="Times New Roman" w:cs="Times New Roman"/>
          <w:sz w:val="24"/>
          <w:szCs w:val="24"/>
        </w:rPr>
        <w:t xml:space="preserve"> </w:t>
      </w:r>
      <w:r>
        <w:rPr>
          <w:rFonts w:ascii="Times New Roman" w:hAnsi="Times New Roman" w:cs="Times New Roman"/>
          <w:sz w:val="24"/>
          <w:szCs w:val="24"/>
        </w:rPr>
        <w:t>his actions at a time when</w:t>
      </w:r>
      <w:r w:rsidR="00E32140">
        <w:rPr>
          <w:rFonts w:ascii="Times New Roman" w:hAnsi="Times New Roman" w:cs="Times New Roman"/>
          <w:sz w:val="24"/>
          <w:szCs w:val="24"/>
        </w:rPr>
        <w:t xml:space="preserve"> the constitution was just a few years old established the authority of the presidency. Washington had vigorous policies that made the president more of an energetic leader than a ceremonial figurehead. By guaranteeing that the presidency had control of every member of the executive branch</w:t>
      </w:r>
      <w:r w:rsidR="00150D39">
        <w:rPr>
          <w:rFonts w:ascii="Times New Roman" w:hAnsi="Times New Roman" w:cs="Times New Roman"/>
          <w:sz w:val="24"/>
          <w:szCs w:val="24"/>
        </w:rPr>
        <w:t>,</w:t>
      </w:r>
      <w:r w:rsidR="00E32140">
        <w:rPr>
          <w:rFonts w:ascii="Times New Roman" w:hAnsi="Times New Roman" w:cs="Times New Roman"/>
          <w:sz w:val="24"/>
          <w:szCs w:val="24"/>
        </w:rPr>
        <w:t xml:space="preserve"> he increased the powers of the executive branch. George Washington stayed within the bounds of presidential authority as outlined within the acts of the first congress organizing the executive branch</w:t>
      </w:r>
      <w:r w:rsidR="00150D39">
        <w:rPr>
          <w:rFonts w:ascii="Times New Roman" w:hAnsi="Times New Roman" w:cs="Times New Roman"/>
          <w:sz w:val="24"/>
          <w:szCs w:val="24"/>
        </w:rPr>
        <w:t>,</w:t>
      </w:r>
      <w:r w:rsidR="00E32140">
        <w:rPr>
          <w:rFonts w:ascii="Times New Roman" w:hAnsi="Times New Roman" w:cs="Times New Roman"/>
          <w:sz w:val="24"/>
          <w:szCs w:val="24"/>
        </w:rPr>
        <w:t xml:space="preserve"> and this shaped the institution of the executive branch and the trust in its capabilities</w:t>
      </w:r>
      <w:r w:rsidR="00C76FEB" w:rsidRPr="00C76FEB">
        <w:rPr>
          <w:rFonts w:ascii="Times New Roman" w:hAnsi="Times New Roman" w:cs="Times New Roman"/>
          <w:color w:val="222222"/>
          <w:sz w:val="24"/>
          <w:szCs w:val="24"/>
          <w:shd w:val="clear" w:color="auto" w:fill="FFFFFF"/>
        </w:rPr>
        <w:t xml:space="preserve"> </w:t>
      </w:r>
      <w:r w:rsidR="00C76FEB">
        <w:rPr>
          <w:rFonts w:ascii="Times New Roman" w:hAnsi="Times New Roman" w:cs="Times New Roman"/>
          <w:color w:val="222222"/>
          <w:sz w:val="24"/>
          <w:szCs w:val="24"/>
          <w:shd w:val="clear" w:color="auto" w:fill="FFFFFF"/>
        </w:rPr>
        <w:t>(</w:t>
      </w:r>
      <w:r w:rsidR="00C76FEB" w:rsidRPr="00C76FEB">
        <w:rPr>
          <w:rFonts w:ascii="Times New Roman" w:hAnsi="Times New Roman" w:cs="Times New Roman"/>
          <w:color w:val="222222"/>
          <w:sz w:val="24"/>
          <w:szCs w:val="24"/>
          <w:shd w:val="clear" w:color="auto" w:fill="FFFFFF"/>
        </w:rPr>
        <w:t xml:space="preserve">Chervinsky, </w:t>
      </w:r>
      <w:r w:rsidR="00C76FEB">
        <w:rPr>
          <w:rFonts w:ascii="Times New Roman" w:hAnsi="Times New Roman" w:cs="Times New Roman"/>
          <w:color w:val="222222"/>
          <w:sz w:val="24"/>
          <w:szCs w:val="24"/>
          <w:shd w:val="clear" w:color="auto" w:fill="FFFFFF"/>
        </w:rPr>
        <w:t>2018).</w:t>
      </w:r>
      <w:r w:rsidR="00E32140">
        <w:rPr>
          <w:rFonts w:ascii="Times New Roman" w:hAnsi="Times New Roman" w:cs="Times New Roman"/>
          <w:sz w:val="24"/>
          <w:szCs w:val="24"/>
        </w:rPr>
        <w:t xml:space="preserve"> In a time when congress was way much powerful than the executive branch, Washington made the office of the president powerful by appointing a cabinet and proposing some </w:t>
      </w:r>
      <w:r w:rsidR="00150D39">
        <w:rPr>
          <w:rFonts w:ascii="Times New Roman" w:hAnsi="Times New Roman" w:cs="Times New Roman"/>
          <w:sz w:val="24"/>
          <w:szCs w:val="24"/>
        </w:rPr>
        <w:t>primary</w:t>
      </w:r>
      <w:r w:rsidR="00E32140">
        <w:rPr>
          <w:rFonts w:ascii="Times New Roman" w:hAnsi="Times New Roman" w:cs="Times New Roman"/>
          <w:sz w:val="24"/>
          <w:szCs w:val="24"/>
        </w:rPr>
        <w:t xml:space="preserve"> legislation to congress.</w:t>
      </w:r>
    </w:p>
    <w:p w14:paraId="44E55634" w14:textId="5032D1BA" w:rsidR="00D74A3A" w:rsidRDefault="00D74A3A" w:rsidP="00084D53">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also set precedents by obeying the laws throughout his career and this established trust in the presidency and subsequently the executive branch. Even though he was the commander in chief of the continental army</w:t>
      </w:r>
      <w:r w:rsidR="00150D39">
        <w:rPr>
          <w:rFonts w:ascii="Times New Roman" w:hAnsi="Times New Roman" w:cs="Times New Roman"/>
          <w:sz w:val="24"/>
          <w:szCs w:val="24"/>
        </w:rPr>
        <w:t>,</w:t>
      </w:r>
      <w:r>
        <w:rPr>
          <w:rFonts w:ascii="Times New Roman" w:hAnsi="Times New Roman" w:cs="Times New Roman"/>
          <w:sz w:val="24"/>
          <w:szCs w:val="24"/>
        </w:rPr>
        <w:t xml:space="preserve"> Washington never lost sight of the fact that his authority came from congress and he </w:t>
      </w:r>
      <w:r w:rsidR="00150D39">
        <w:rPr>
          <w:rFonts w:ascii="Times New Roman" w:hAnsi="Times New Roman" w:cs="Times New Roman"/>
          <w:sz w:val="24"/>
          <w:szCs w:val="24"/>
        </w:rPr>
        <w:t>firm</w:t>
      </w:r>
      <w:r>
        <w:rPr>
          <w:rFonts w:ascii="Times New Roman" w:hAnsi="Times New Roman" w:cs="Times New Roman"/>
          <w:sz w:val="24"/>
          <w:szCs w:val="24"/>
        </w:rPr>
        <w:t>ly established the precept that the military serves the</w:t>
      </w:r>
      <w:r w:rsidR="0003460E">
        <w:rPr>
          <w:rFonts w:ascii="Times New Roman" w:hAnsi="Times New Roman" w:cs="Times New Roman"/>
          <w:sz w:val="24"/>
          <w:szCs w:val="24"/>
        </w:rPr>
        <w:t>ir</w:t>
      </w:r>
      <w:r>
        <w:rPr>
          <w:rFonts w:ascii="Times New Roman" w:hAnsi="Times New Roman" w:cs="Times New Roman"/>
          <w:sz w:val="24"/>
          <w:szCs w:val="24"/>
        </w:rPr>
        <w:t xml:space="preserve"> civilian government. Through </w:t>
      </w:r>
      <w:r w:rsidR="00150D39">
        <w:rPr>
          <w:rFonts w:ascii="Times New Roman" w:hAnsi="Times New Roman" w:cs="Times New Roman"/>
          <w:sz w:val="24"/>
          <w:szCs w:val="24"/>
        </w:rPr>
        <w:t xml:space="preserve">the </w:t>
      </w:r>
      <w:r>
        <w:rPr>
          <w:rFonts w:ascii="Times New Roman" w:hAnsi="Times New Roman" w:cs="Times New Roman"/>
          <w:sz w:val="24"/>
          <w:szCs w:val="24"/>
        </w:rPr>
        <w:t xml:space="preserve">use of presidential war powers, executive orders and </w:t>
      </w:r>
      <w:r w:rsidR="0003460E">
        <w:rPr>
          <w:rFonts w:ascii="Times New Roman" w:hAnsi="Times New Roman" w:cs="Times New Roman"/>
          <w:sz w:val="24"/>
          <w:szCs w:val="24"/>
        </w:rPr>
        <w:t>privileges</w:t>
      </w:r>
      <w:r w:rsidR="00150D39">
        <w:rPr>
          <w:rFonts w:ascii="Times New Roman" w:hAnsi="Times New Roman" w:cs="Times New Roman"/>
          <w:sz w:val="24"/>
          <w:szCs w:val="24"/>
        </w:rPr>
        <w:t>,</w:t>
      </w:r>
      <w:r>
        <w:rPr>
          <w:rFonts w:ascii="Times New Roman" w:hAnsi="Times New Roman" w:cs="Times New Roman"/>
          <w:sz w:val="24"/>
          <w:szCs w:val="24"/>
        </w:rPr>
        <w:t xml:space="preserve"> Washington</w:t>
      </w:r>
      <w:r w:rsidR="0003460E">
        <w:rPr>
          <w:rFonts w:ascii="Times New Roman" w:hAnsi="Times New Roman" w:cs="Times New Roman"/>
          <w:sz w:val="24"/>
          <w:szCs w:val="24"/>
        </w:rPr>
        <w:t xml:space="preserve"> expanded and cemented the powers of the executive branch to be able to check and balance those of congress</w:t>
      </w:r>
      <w:r w:rsidR="00C76FEB" w:rsidRPr="00C76FEB">
        <w:rPr>
          <w:rFonts w:ascii="Times New Roman" w:hAnsi="Times New Roman" w:cs="Times New Roman"/>
          <w:color w:val="222222"/>
          <w:sz w:val="24"/>
          <w:szCs w:val="24"/>
          <w:shd w:val="clear" w:color="auto" w:fill="FFFFFF"/>
        </w:rPr>
        <w:t xml:space="preserve"> </w:t>
      </w:r>
      <w:r w:rsidR="00C76FEB">
        <w:rPr>
          <w:rFonts w:ascii="Times New Roman" w:hAnsi="Times New Roman" w:cs="Times New Roman"/>
          <w:color w:val="222222"/>
          <w:sz w:val="24"/>
          <w:szCs w:val="24"/>
          <w:shd w:val="clear" w:color="auto" w:fill="FFFFFF"/>
        </w:rPr>
        <w:t>(</w:t>
      </w:r>
      <w:r w:rsidR="00C76FEB" w:rsidRPr="00C76FEB">
        <w:rPr>
          <w:rFonts w:ascii="Times New Roman" w:hAnsi="Times New Roman" w:cs="Times New Roman"/>
          <w:color w:val="222222"/>
          <w:sz w:val="24"/>
          <w:szCs w:val="24"/>
          <w:shd w:val="clear" w:color="auto" w:fill="FFFFFF"/>
        </w:rPr>
        <w:t xml:space="preserve">Mortenson, </w:t>
      </w:r>
      <w:r w:rsidR="00C76FEB">
        <w:rPr>
          <w:rFonts w:ascii="Times New Roman" w:hAnsi="Times New Roman" w:cs="Times New Roman"/>
          <w:color w:val="222222"/>
          <w:sz w:val="24"/>
          <w:szCs w:val="24"/>
          <w:shd w:val="clear" w:color="auto" w:fill="FFFFFF"/>
        </w:rPr>
        <w:t>2019).</w:t>
      </w:r>
      <w:r w:rsidR="0003460E">
        <w:rPr>
          <w:rFonts w:ascii="Times New Roman" w:hAnsi="Times New Roman" w:cs="Times New Roman"/>
          <w:sz w:val="24"/>
          <w:szCs w:val="24"/>
        </w:rPr>
        <w:t xml:space="preserve"> It did not happen immediately. Washington’s farewell address stressed on the importance of </w:t>
      </w:r>
      <w:r w:rsidR="00150D39">
        <w:rPr>
          <w:rFonts w:ascii="Times New Roman" w:hAnsi="Times New Roman" w:cs="Times New Roman"/>
          <w:sz w:val="24"/>
          <w:szCs w:val="24"/>
        </w:rPr>
        <w:t xml:space="preserve">the </w:t>
      </w:r>
      <w:r w:rsidR="0003460E">
        <w:rPr>
          <w:rFonts w:ascii="Times New Roman" w:hAnsi="Times New Roman" w:cs="Times New Roman"/>
          <w:sz w:val="24"/>
          <w:szCs w:val="24"/>
        </w:rPr>
        <w:t>separation of powers where no single branch of the government could be absolutely powerful. Washington led the country through its formative years and his policies and constructive personality set precedents that not only changed the balance of power between the executive branch and the congress but also influenced future presidents.</w:t>
      </w:r>
    </w:p>
    <w:p w14:paraId="2281E436" w14:textId="6C1C9E57" w:rsidR="0003460E" w:rsidRDefault="0003460E" w:rsidP="00084D53">
      <w:pPr>
        <w:spacing w:line="480" w:lineRule="auto"/>
        <w:ind w:firstLine="720"/>
        <w:rPr>
          <w:rFonts w:ascii="Times New Roman" w:hAnsi="Times New Roman" w:cs="Times New Roman"/>
          <w:sz w:val="24"/>
          <w:szCs w:val="24"/>
        </w:rPr>
      </w:pPr>
    </w:p>
    <w:p w14:paraId="20F36EB0" w14:textId="4D21F42E" w:rsidR="0003460E" w:rsidRDefault="0003460E" w:rsidP="0003460E">
      <w:pPr>
        <w:spacing w:line="480" w:lineRule="auto"/>
        <w:ind w:firstLine="720"/>
        <w:jc w:val="center"/>
        <w:rPr>
          <w:rFonts w:ascii="Times New Roman" w:hAnsi="Times New Roman" w:cs="Times New Roman"/>
          <w:b/>
          <w:bCs/>
          <w:sz w:val="24"/>
          <w:szCs w:val="24"/>
        </w:rPr>
      </w:pPr>
      <w:r w:rsidRPr="0003460E">
        <w:rPr>
          <w:rFonts w:ascii="Times New Roman" w:hAnsi="Times New Roman" w:cs="Times New Roman"/>
          <w:b/>
          <w:bCs/>
          <w:sz w:val="24"/>
          <w:szCs w:val="24"/>
        </w:rPr>
        <w:t>References</w:t>
      </w:r>
    </w:p>
    <w:p w14:paraId="4AC9F31F" w14:textId="77777777" w:rsidR="00C76FEB" w:rsidRPr="00C76FEB" w:rsidRDefault="00C76FEB" w:rsidP="00C76FEB">
      <w:pPr>
        <w:spacing w:after="0" w:line="480" w:lineRule="auto"/>
        <w:ind w:left="720" w:hanging="720"/>
        <w:rPr>
          <w:rFonts w:ascii="Times New Roman" w:hAnsi="Times New Roman" w:cs="Times New Roman"/>
          <w:b/>
          <w:bCs/>
          <w:sz w:val="24"/>
          <w:szCs w:val="24"/>
        </w:rPr>
      </w:pPr>
      <w:r w:rsidRPr="00C76FEB">
        <w:rPr>
          <w:rFonts w:ascii="Times New Roman" w:hAnsi="Times New Roman" w:cs="Times New Roman"/>
          <w:color w:val="222222"/>
          <w:sz w:val="24"/>
          <w:szCs w:val="24"/>
          <w:shd w:val="clear" w:color="auto" w:fill="FFFFFF"/>
        </w:rPr>
        <w:t>Chervinsky, L. M. (2018). The Historical Presidency: George Washington and the First Presidential Cabinet. </w:t>
      </w:r>
      <w:r w:rsidRPr="00C76FEB">
        <w:rPr>
          <w:rFonts w:ascii="Times New Roman" w:hAnsi="Times New Roman" w:cs="Times New Roman"/>
          <w:i/>
          <w:iCs/>
          <w:color w:val="222222"/>
          <w:sz w:val="24"/>
          <w:szCs w:val="24"/>
          <w:shd w:val="clear" w:color="auto" w:fill="FFFFFF"/>
        </w:rPr>
        <w:t>Presidential Studies Quarterly</w:t>
      </w:r>
      <w:r w:rsidRPr="00C76FEB">
        <w:rPr>
          <w:rFonts w:ascii="Times New Roman" w:hAnsi="Times New Roman" w:cs="Times New Roman"/>
          <w:color w:val="222222"/>
          <w:sz w:val="24"/>
          <w:szCs w:val="24"/>
          <w:shd w:val="clear" w:color="auto" w:fill="FFFFFF"/>
        </w:rPr>
        <w:t>, </w:t>
      </w:r>
      <w:r w:rsidRPr="00C76FEB">
        <w:rPr>
          <w:rFonts w:ascii="Times New Roman" w:hAnsi="Times New Roman" w:cs="Times New Roman"/>
          <w:i/>
          <w:iCs/>
          <w:color w:val="222222"/>
          <w:sz w:val="24"/>
          <w:szCs w:val="24"/>
          <w:shd w:val="clear" w:color="auto" w:fill="FFFFFF"/>
        </w:rPr>
        <w:t>48</w:t>
      </w:r>
      <w:r w:rsidRPr="00C76FEB">
        <w:rPr>
          <w:rFonts w:ascii="Times New Roman" w:hAnsi="Times New Roman" w:cs="Times New Roman"/>
          <w:color w:val="222222"/>
          <w:sz w:val="24"/>
          <w:szCs w:val="24"/>
          <w:shd w:val="clear" w:color="auto" w:fill="FFFFFF"/>
        </w:rPr>
        <w:t>(1), 139-152.</w:t>
      </w:r>
    </w:p>
    <w:p w14:paraId="4080CDF8" w14:textId="77777777" w:rsidR="00C76FEB" w:rsidRPr="00C76FEB" w:rsidRDefault="00C76FEB" w:rsidP="00C76FEB">
      <w:pPr>
        <w:spacing w:after="0" w:line="480" w:lineRule="auto"/>
        <w:ind w:left="720" w:hanging="720"/>
        <w:rPr>
          <w:rFonts w:ascii="Times New Roman" w:hAnsi="Times New Roman" w:cs="Times New Roman"/>
          <w:color w:val="222222"/>
          <w:sz w:val="24"/>
          <w:szCs w:val="24"/>
          <w:shd w:val="clear" w:color="auto" w:fill="FFFFFF"/>
        </w:rPr>
      </w:pPr>
      <w:r w:rsidRPr="00C76FEB">
        <w:rPr>
          <w:rFonts w:ascii="Times New Roman" w:hAnsi="Times New Roman" w:cs="Times New Roman"/>
          <w:color w:val="222222"/>
          <w:sz w:val="24"/>
          <w:szCs w:val="24"/>
          <w:shd w:val="clear" w:color="auto" w:fill="FFFFFF"/>
        </w:rPr>
        <w:t>Kaiser, H. (2019). President Trump and Civil Litigation: Executive Immunity and the Emoluments Clause.</w:t>
      </w:r>
    </w:p>
    <w:p w14:paraId="286A778A" w14:textId="77777777" w:rsidR="00C76FEB" w:rsidRPr="00C76FEB" w:rsidRDefault="00C76FEB" w:rsidP="00C76FEB">
      <w:pPr>
        <w:spacing w:after="0" w:line="480" w:lineRule="auto"/>
        <w:ind w:left="720" w:hanging="720"/>
        <w:rPr>
          <w:rFonts w:ascii="Times New Roman" w:hAnsi="Times New Roman" w:cs="Times New Roman"/>
          <w:color w:val="222222"/>
          <w:sz w:val="24"/>
          <w:szCs w:val="24"/>
          <w:shd w:val="clear" w:color="auto" w:fill="FFFFFF"/>
        </w:rPr>
      </w:pPr>
      <w:r w:rsidRPr="00C76FEB">
        <w:rPr>
          <w:rFonts w:ascii="Times New Roman" w:hAnsi="Times New Roman" w:cs="Times New Roman"/>
          <w:color w:val="222222"/>
          <w:sz w:val="24"/>
          <w:szCs w:val="24"/>
          <w:shd w:val="clear" w:color="auto" w:fill="FFFFFF"/>
        </w:rPr>
        <w:t>Mortenson, J. D. (2019). The Executive Power Clause. </w:t>
      </w:r>
      <w:r w:rsidRPr="00C76FEB">
        <w:rPr>
          <w:rFonts w:ascii="Times New Roman" w:hAnsi="Times New Roman" w:cs="Times New Roman"/>
          <w:i/>
          <w:iCs/>
          <w:color w:val="222222"/>
          <w:sz w:val="24"/>
          <w:szCs w:val="24"/>
          <w:shd w:val="clear" w:color="auto" w:fill="FFFFFF"/>
        </w:rPr>
        <w:t>University of Pe</w:t>
      </w:r>
      <w:bookmarkStart w:id="0" w:name="_GoBack"/>
      <w:bookmarkEnd w:id="0"/>
      <w:r w:rsidRPr="00C76FEB">
        <w:rPr>
          <w:rFonts w:ascii="Times New Roman" w:hAnsi="Times New Roman" w:cs="Times New Roman"/>
          <w:i/>
          <w:iCs/>
          <w:color w:val="222222"/>
          <w:sz w:val="24"/>
          <w:szCs w:val="24"/>
          <w:shd w:val="clear" w:color="auto" w:fill="FFFFFF"/>
        </w:rPr>
        <w:t>nnsylvania Law Review</w:t>
      </w:r>
      <w:r w:rsidRPr="00C76FEB">
        <w:rPr>
          <w:rFonts w:ascii="Times New Roman" w:hAnsi="Times New Roman" w:cs="Times New Roman"/>
          <w:color w:val="222222"/>
          <w:sz w:val="24"/>
          <w:szCs w:val="24"/>
          <w:shd w:val="clear" w:color="auto" w:fill="FFFFFF"/>
        </w:rPr>
        <w:t>, </w:t>
      </w:r>
      <w:r w:rsidRPr="00C76FEB">
        <w:rPr>
          <w:rFonts w:ascii="Times New Roman" w:hAnsi="Times New Roman" w:cs="Times New Roman"/>
          <w:i/>
          <w:iCs/>
          <w:color w:val="222222"/>
          <w:sz w:val="24"/>
          <w:szCs w:val="24"/>
          <w:shd w:val="clear" w:color="auto" w:fill="FFFFFF"/>
        </w:rPr>
        <w:t>119</w:t>
      </w:r>
      <w:r w:rsidRPr="00C76FEB">
        <w:rPr>
          <w:rFonts w:ascii="Times New Roman" w:hAnsi="Times New Roman" w:cs="Times New Roman"/>
          <w:color w:val="222222"/>
          <w:sz w:val="24"/>
          <w:szCs w:val="24"/>
          <w:shd w:val="clear" w:color="auto" w:fill="FFFFFF"/>
        </w:rPr>
        <w:t>.</w:t>
      </w:r>
    </w:p>
    <w:p w14:paraId="6D528731" w14:textId="77777777" w:rsidR="0003460E" w:rsidRPr="0003460E" w:rsidRDefault="0003460E" w:rsidP="0003460E">
      <w:pPr>
        <w:spacing w:line="480" w:lineRule="auto"/>
        <w:rPr>
          <w:rFonts w:ascii="Times New Roman" w:hAnsi="Times New Roman" w:cs="Times New Roman"/>
          <w:b/>
          <w:bCs/>
          <w:sz w:val="24"/>
          <w:szCs w:val="24"/>
        </w:rPr>
      </w:pPr>
    </w:p>
    <w:p w14:paraId="06347603" w14:textId="535CB304" w:rsidR="003C5ED3" w:rsidRPr="003C5ED3" w:rsidRDefault="003C5ED3" w:rsidP="003C5ED3">
      <w:pPr>
        <w:spacing w:line="480" w:lineRule="auto"/>
        <w:jc w:val="center"/>
        <w:rPr>
          <w:rFonts w:ascii="Times New Roman" w:hAnsi="Times New Roman" w:cs="Times New Roman"/>
          <w:sz w:val="24"/>
          <w:szCs w:val="24"/>
        </w:rPr>
      </w:pPr>
    </w:p>
    <w:sectPr w:rsidR="003C5ED3" w:rsidRPr="003C5ED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16A52A" w14:textId="77777777" w:rsidR="00B0029A" w:rsidRDefault="00B0029A" w:rsidP="003C5ED3">
      <w:pPr>
        <w:spacing w:after="0" w:line="240" w:lineRule="auto"/>
      </w:pPr>
      <w:r>
        <w:separator/>
      </w:r>
    </w:p>
  </w:endnote>
  <w:endnote w:type="continuationSeparator" w:id="0">
    <w:p w14:paraId="23266033" w14:textId="77777777" w:rsidR="00B0029A" w:rsidRDefault="00B0029A" w:rsidP="003C5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A5DDC" w14:textId="77777777" w:rsidR="00B0029A" w:rsidRDefault="00B0029A" w:rsidP="003C5ED3">
      <w:pPr>
        <w:spacing w:after="0" w:line="240" w:lineRule="auto"/>
      </w:pPr>
      <w:r>
        <w:separator/>
      </w:r>
    </w:p>
  </w:footnote>
  <w:footnote w:type="continuationSeparator" w:id="0">
    <w:p w14:paraId="476B47D5" w14:textId="77777777" w:rsidR="00B0029A" w:rsidRDefault="00B0029A" w:rsidP="003C5E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3548719"/>
      <w:docPartObj>
        <w:docPartGallery w:val="Page Numbers (Top of Page)"/>
        <w:docPartUnique/>
      </w:docPartObj>
    </w:sdtPr>
    <w:sdtEndPr>
      <w:rPr>
        <w:noProof/>
      </w:rPr>
    </w:sdtEndPr>
    <w:sdtContent>
      <w:p w14:paraId="5C8967EB" w14:textId="5A4F69BD" w:rsidR="003C5ED3" w:rsidRPr="003C5ED3" w:rsidRDefault="003C5ED3" w:rsidP="003C5ED3">
        <w:pPr>
          <w:pStyle w:val="Header"/>
          <w:spacing w:line="480" w:lineRule="auto"/>
          <w:jc w:val="right"/>
          <w:rPr>
            <w:rFonts w:ascii="Times New Roman" w:hAnsi="Times New Roman" w:cs="Times New Roman"/>
            <w:sz w:val="24"/>
            <w:szCs w:val="24"/>
          </w:rPr>
        </w:pPr>
        <w:r w:rsidRPr="003C5ED3">
          <w:rPr>
            <w:rFonts w:ascii="Times New Roman" w:hAnsi="Times New Roman" w:cs="Times New Roman"/>
            <w:sz w:val="24"/>
            <w:szCs w:val="24"/>
          </w:rPr>
          <w:fldChar w:fldCharType="begin"/>
        </w:r>
        <w:r w:rsidRPr="003C5ED3">
          <w:rPr>
            <w:rFonts w:ascii="Times New Roman" w:hAnsi="Times New Roman" w:cs="Times New Roman"/>
            <w:sz w:val="24"/>
            <w:szCs w:val="24"/>
          </w:rPr>
          <w:instrText xml:space="preserve"> PAGE   \* MERGEFORMAT </w:instrText>
        </w:r>
        <w:r w:rsidRPr="003C5ED3">
          <w:rPr>
            <w:rFonts w:ascii="Times New Roman" w:hAnsi="Times New Roman" w:cs="Times New Roman"/>
            <w:sz w:val="24"/>
            <w:szCs w:val="24"/>
          </w:rPr>
          <w:fldChar w:fldCharType="separate"/>
        </w:r>
        <w:r w:rsidR="00B0029A">
          <w:rPr>
            <w:rFonts w:ascii="Times New Roman" w:hAnsi="Times New Roman" w:cs="Times New Roman"/>
            <w:noProof/>
            <w:sz w:val="24"/>
            <w:szCs w:val="24"/>
          </w:rPr>
          <w:t>1</w:t>
        </w:r>
        <w:r w:rsidRPr="003C5ED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YzNzU0NzI2sDAzNTJQ0lEKTi0uzszPAykwrAUAezHEMiwAAAA="/>
  </w:docVars>
  <w:rsids>
    <w:rsidRoot w:val="003C5ED3"/>
    <w:rsid w:val="0003460E"/>
    <w:rsid w:val="00084D53"/>
    <w:rsid w:val="000D75B0"/>
    <w:rsid w:val="00150D39"/>
    <w:rsid w:val="002E14FF"/>
    <w:rsid w:val="003151B3"/>
    <w:rsid w:val="003C5ED3"/>
    <w:rsid w:val="0066268D"/>
    <w:rsid w:val="00663AB4"/>
    <w:rsid w:val="0099650E"/>
    <w:rsid w:val="00A1016E"/>
    <w:rsid w:val="00B0029A"/>
    <w:rsid w:val="00B3092B"/>
    <w:rsid w:val="00C76FEB"/>
    <w:rsid w:val="00D74A3A"/>
    <w:rsid w:val="00E32140"/>
    <w:rsid w:val="00F66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7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E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ED3"/>
  </w:style>
  <w:style w:type="paragraph" w:styleId="Footer">
    <w:name w:val="footer"/>
    <w:basedOn w:val="Normal"/>
    <w:link w:val="FooterChar"/>
    <w:uiPriority w:val="99"/>
    <w:unhideWhenUsed/>
    <w:rsid w:val="003C5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E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E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ED3"/>
  </w:style>
  <w:style w:type="paragraph" w:styleId="Footer">
    <w:name w:val="footer"/>
    <w:basedOn w:val="Normal"/>
    <w:link w:val="FooterChar"/>
    <w:uiPriority w:val="99"/>
    <w:unhideWhenUsed/>
    <w:rsid w:val="003C5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2020-09-04T12:47:00Z</dcterms:created>
  <dcterms:modified xsi:type="dcterms:W3CDTF">2020-09-04T12:47:00Z</dcterms:modified>
</cp:coreProperties>
</file>