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pos="2775"/>
          <w:tab w:val="center" w:pos="4873"/>
        </w:tabs>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Thomson vs. Kyle</w:t>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spacing w:after="240" w:before="0" w:line="480" w:lineRule="auto"/>
        <w:rPr>
          <w:rFonts w:ascii="Times New Roman" w:cs="Times New Roman" w:eastAsia="Times New Roman" w:hAnsi="Times New Roman"/>
          <w:b w:val="0"/>
          <w:color w:val="161619"/>
          <w:sz w:val="24"/>
          <w:szCs w:val="24"/>
        </w:rPr>
      </w:pPr>
      <w:r w:rsidDel="00000000" w:rsidR="00000000" w:rsidRPr="00000000">
        <w:rPr>
          <w:rFonts w:ascii="Times New Roman" w:cs="Times New Roman" w:eastAsia="Times New Roman" w:hAnsi="Times New Roman"/>
          <w:b w:val="0"/>
          <w:color w:val="161619"/>
          <w:sz w:val="24"/>
          <w:szCs w:val="24"/>
          <w:rtl w:val="0"/>
        </w:rPr>
        <w:t xml:space="preserve">Thompson v. Kyle Supreme Court of Florida 23 So. 12 (1897)</w:t>
      </w:r>
    </w:p>
    <w:p w:rsidR="00000000" w:rsidDel="00000000" w:rsidP="00000000" w:rsidRDefault="00000000" w:rsidRPr="00000000" w14:paraId="00000011">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563c1"/>
            <w:sz w:val="24"/>
            <w:szCs w:val="24"/>
            <w:u w:val="single"/>
            <w:rtl w:val="0"/>
          </w:rPr>
          <w:t xml:space="preserve">https://www.lexisnexis.com/community/casebrief/p/casebrief-thomson-v-kyle</w:t>
        </w:r>
      </w:hyperlink>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Facts of the case</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security for her husband’s debt, Della Thomson fulfilled a mortgage that conveyed a separate statutory property in Florida that belonged to her. The execution of the mortgage took place in the State of Alabama. The mortgagee sought foreclosure of the real estate mortgage but Thomson defended herself claiming that the mortgage was null and void under the laws of Alabama since Thomson lacked the ability to incur the contractual debt thus was also void in Florida.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of the case</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statutory property in Florida valid as security for the husband’s debt? The answer is yes. </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Reasoning</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Supreme Court of Florida held that </w:t>
      </w:r>
      <w:r w:rsidDel="00000000" w:rsidR="00000000" w:rsidRPr="00000000">
        <w:rPr>
          <w:rFonts w:ascii="Times New Roman" w:cs="Times New Roman" w:eastAsia="Times New Roman" w:hAnsi="Times New Roman"/>
          <w:color w:val="111111"/>
          <w:sz w:val="24"/>
          <w:szCs w:val="24"/>
          <w:highlight w:val="white"/>
          <w:rtl w:val="0"/>
        </w:rPr>
        <w:t xml:space="preserve">while by the laws of Alabama, Thomson has no capacity to execute a mortgage on a separate statutory estate as debt security, if she in that State executes a mortgage on property in a different State that allows married women to mortgage their real property for debt security, the mortgage will in the later State be held valid and enforceable (Lexis Nexis, n.d).</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conflicts doctrine dictates that the validity of a contract created using a a promissory note is governed by the law of the state where the execution of the note took place or where it is to be repaid. As long as compliance of the law by the 2 parties takes place, the obligation created by the contract is generally enforceable elsewhere. However, the choice-of-law issue is complicated when security for payment of the promissory note involves an encumbrance on real estate. Mortgages appear to be governed by the situs rules since they involve the transfer of a real property interest. Thus a “divisible” transaction that is part “real property” and part “contract” arises. When the place of the note's execution differs from the situs of the mortgaged property, different state laws may apply to the contract and property issues (Finch, 1996).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shd w:fill="e8f2fc" w:val="clear"/>
        </w:rPr>
      </w:pPr>
      <w:r w:rsidDel="00000000" w:rsidR="00000000" w:rsidRPr="00000000">
        <w:rPr>
          <w:rFonts w:ascii="Times New Roman" w:cs="Times New Roman" w:eastAsia="Times New Roman" w:hAnsi="Times New Roman"/>
          <w:sz w:val="24"/>
          <w:szCs w:val="24"/>
          <w:shd w:fill="e8f2fc" w:val="clear"/>
          <w:rtl w:val="0"/>
        </w:rPr>
        <w:t xml:space="preserve">Lexis Nexis. (n.d.). </w:t>
      </w:r>
      <w:r w:rsidDel="00000000" w:rsidR="00000000" w:rsidRPr="00000000">
        <w:rPr>
          <w:rFonts w:ascii="Times New Roman" w:cs="Times New Roman" w:eastAsia="Times New Roman" w:hAnsi="Times New Roman"/>
          <w:i w:val="1"/>
          <w:sz w:val="24"/>
          <w:szCs w:val="24"/>
          <w:shd w:fill="e8f2fc" w:val="clear"/>
          <w:rtl w:val="0"/>
        </w:rPr>
        <w:t xml:space="preserve">Thomson v. Kyle | Case Brief for Law School | LexisNexis</w:t>
      </w:r>
      <w:r w:rsidDel="00000000" w:rsidR="00000000" w:rsidRPr="00000000">
        <w:rPr>
          <w:rFonts w:ascii="Times New Roman" w:cs="Times New Roman" w:eastAsia="Times New Roman" w:hAnsi="Times New Roman"/>
          <w:sz w:val="24"/>
          <w:szCs w:val="24"/>
          <w:shd w:fill="e8f2fc" w:val="clear"/>
          <w:rtl w:val="0"/>
        </w:rPr>
        <w:t xml:space="preserve">. Community. Retrieved June 8, 2021, from </w:t>
      </w:r>
      <w:hyperlink r:id="rId7">
        <w:r w:rsidDel="00000000" w:rsidR="00000000" w:rsidRPr="00000000">
          <w:rPr>
            <w:rFonts w:ascii="Times New Roman" w:cs="Times New Roman" w:eastAsia="Times New Roman" w:hAnsi="Times New Roman"/>
            <w:color w:val="0563c1"/>
            <w:sz w:val="24"/>
            <w:szCs w:val="24"/>
            <w:u w:val="single"/>
            <w:shd w:fill="e8f2fc" w:val="clear"/>
            <w:rtl w:val="0"/>
          </w:rPr>
          <w:t xml:space="preserve">https://www.lexisnexis.com/community/casebrief/p/casebrief-thomson-v-kyle</w:t>
        </w:r>
      </w:hyperlink>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Finch, M. S. (1996). Choice-of-law and Property. </w:t>
      </w:r>
      <w:r w:rsidDel="00000000" w:rsidR="00000000" w:rsidRPr="00000000">
        <w:rPr>
          <w:rFonts w:ascii="Times New Roman" w:cs="Times New Roman" w:eastAsia="Times New Roman" w:hAnsi="Times New Roman"/>
          <w:i w:val="1"/>
          <w:color w:val="222222"/>
          <w:sz w:val="24"/>
          <w:szCs w:val="24"/>
          <w:highlight w:val="white"/>
          <w:rtl w:val="0"/>
        </w:rPr>
        <w:t xml:space="preserve">Stetson L. Rev.</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26</w:t>
      </w:r>
      <w:r w:rsidDel="00000000" w:rsidR="00000000" w:rsidRPr="00000000">
        <w:rPr>
          <w:rFonts w:ascii="Times New Roman" w:cs="Times New Roman" w:eastAsia="Times New Roman" w:hAnsi="Times New Roman"/>
          <w:color w:val="222222"/>
          <w:sz w:val="24"/>
          <w:szCs w:val="24"/>
          <w:highlight w:val="white"/>
          <w:rtl w:val="0"/>
        </w:rPr>
        <w:t xml:space="preserve">, 257.</w:t>
      </w:r>
      <w:r w:rsidDel="00000000" w:rsidR="00000000" w:rsidRPr="00000000">
        <w:rPr>
          <w:rtl w:val="0"/>
        </w:rPr>
      </w:r>
    </w:p>
    <w:sectPr>
      <w:headerReference r:id="rId8" w:type="default"/>
      <w:head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THOMSON VS. KYLE</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THOMSON VS. KYLE</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472c4" w:space="4" w:sz="8" w:val="single"/>
      </w:pBdr>
      <w:spacing w:after="300" w:line="240" w:lineRule="auto"/>
    </w:pPr>
    <w:rPr>
      <w:rFonts w:ascii="Calibri" w:cs="Calibri" w:eastAsia="Calibri" w:hAnsi="Calibri"/>
      <w:color w:val="323e4f"/>
      <w:sz w:val="52"/>
      <w:szCs w:val="52"/>
    </w:rPr>
  </w:style>
  <w:style w:type="paragraph" w:styleId="Subtitle">
    <w:name w:val="Subtitle"/>
    <w:basedOn w:val="Normal"/>
    <w:next w:val="Normal"/>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exisnexis.com/community/casebrief/p/casebrief-thomson-v-kyle" TargetMode="External"/><Relationship Id="rId7" Type="http://schemas.openxmlformats.org/officeDocument/2006/relationships/hyperlink" Target="https://www.lexisnexis.com/community/casebrief/p/casebrief-thomson-v-kyle"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