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267D" w:rsidRDefault="00E1267D" w:rsidP="00E1267D">
      <w:pPr>
        <w:spacing w:line="480" w:lineRule="auto"/>
        <w:jc w:val="both"/>
        <w:rPr>
          <w:rFonts w:ascii="Times New Roman" w:hAnsi="Times New Roman" w:cs="Times New Roman"/>
          <w:sz w:val="24"/>
        </w:rPr>
      </w:pPr>
      <w:r>
        <w:rPr>
          <w:rFonts w:ascii="Times New Roman" w:hAnsi="Times New Roman" w:cs="Times New Roman"/>
          <w:sz w:val="24"/>
        </w:rPr>
        <w:t>Student’s Name</w:t>
      </w:r>
    </w:p>
    <w:p w:rsidR="00E1267D" w:rsidRDefault="00E1267D" w:rsidP="00E1267D">
      <w:pPr>
        <w:spacing w:line="480" w:lineRule="auto"/>
        <w:jc w:val="both"/>
        <w:rPr>
          <w:rFonts w:ascii="Times New Roman" w:hAnsi="Times New Roman" w:cs="Times New Roman"/>
          <w:sz w:val="24"/>
        </w:rPr>
      </w:pPr>
      <w:r>
        <w:rPr>
          <w:rFonts w:ascii="Times New Roman" w:hAnsi="Times New Roman" w:cs="Times New Roman"/>
          <w:sz w:val="24"/>
        </w:rPr>
        <w:t>Professor’s Name</w:t>
      </w:r>
    </w:p>
    <w:p w:rsidR="00E1267D" w:rsidRDefault="00E1267D" w:rsidP="00E1267D">
      <w:pPr>
        <w:spacing w:line="480" w:lineRule="auto"/>
        <w:jc w:val="both"/>
        <w:rPr>
          <w:rFonts w:ascii="Times New Roman" w:hAnsi="Times New Roman" w:cs="Times New Roman"/>
          <w:sz w:val="24"/>
        </w:rPr>
      </w:pPr>
      <w:r>
        <w:rPr>
          <w:rFonts w:ascii="Times New Roman" w:hAnsi="Times New Roman" w:cs="Times New Roman"/>
          <w:sz w:val="24"/>
        </w:rPr>
        <w:t>Course</w:t>
      </w:r>
    </w:p>
    <w:p w:rsidR="00E1267D" w:rsidRDefault="00E1267D" w:rsidP="00E1267D">
      <w:pPr>
        <w:spacing w:line="480" w:lineRule="auto"/>
        <w:jc w:val="both"/>
        <w:rPr>
          <w:rFonts w:ascii="Times New Roman" w:hAnsi="Times New Roman" w:cs="Times New Roman"/>
          <w:sz w:val="24"/>
        </w:rPr>
      </w:pPr>
      <w:r>
        <w:rPr>
          <w:rFonts w:ascii="Times New Roman" w:hAnsi="Times New Roman" w:cs="Times New Roman"/>
          <w:sz w:val="24"/>
        </w:rPr>
        <w:t>Due Date</w:t>
      </w:r>
    </w:p>
    <w:p w:rsidR="005E3713" w:rsidRPr="00E818AE" w:rsidRDefault="00586A74" w:rsidP="00E818AE">
      <w:pPr>
        <w:spacing w:line="480" w:lineRule="auto"/>
        <w:jc w:val="center"/>
        <w:rPr>
          <w:rFonts w:ascii="Times New Roman" w:hAnsi="Times New Roman" w:cs="Times New Roman"/>
          <w:b/>
          <w:sz w:val="24"/>
          <w:u w:val="single"/>
        </w:rPr>
      </w:pPr>
      <w:r w:rsidRPr="00E818AE">
        <w:rPr>
          <w:rFonts w:ascii="Times New Roman" w:hAnsi="Times New Roman" w:cs="Times New Roman"/>
          <w:b/>
          <w:sz w:val="24"/>
          <w:u w:val="single"/>
        </w:rPr>
        <w:t>Tort</w:t>
      </w:r>
      <w:r w:rsidR="00E818AE" w:rsidRPr="00E818AE">
        <w:rPr>
          <w:rFonts w:ascii="Times New Roman" w:hAnsi="Times New Roman" w:cs="Times New Roman"/>
          <w:b/>
          <w:sz w:val="24"/>
          <w:u w:val="single"/>
        </w:rPr>
        <w:t xml:space="preserve"> Answers</w:t>
      </w:r>
    </w:p>
    <w:p w:rsidR="00586A74" w:rsidRPr="00E1267D" w:rsidRDefault="00586A74"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Q6</w:t>
      </w:r>
    </w:p>
    <w:p w:rsidR="00586A74" w:rsidRPr="00E1267D" w:rsidRDefault="00586A74"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The issue of proximate cause in most of torts cases boils down to the question of foreseeability of the cause of injury or damage</w:t>
      </w:r>
      <w:r w:rsidR="00904FA9">
        <w:rPr>
          <w:rFonts w:ascii="Times New Roman" w:hAnsi="Times New Roman" w:cs="Times New Roman"/>
          <w:sz w:val="24"/>
        </w:rPr>
        <w:t xml:space="preserve"> </w:t>
      </w:r>
      <w:r w:rsidR="00904FA9" w:rsidRPr="00904FA9">
        <w:rPr>
          <w:rFonts w:ascii="Times New Roman" w:hAnsi="Times New Roman" w:cs="Times New Roman"/>
          <w:sz w:val="24"/>
        </w:rPr>
        <w:t>(Grady, 1983)</w:t>
      </w:r>
      <w:r w:rsidRPr="00E1267D">
        <w:rPr>
          <w:rFonts w:ascii="Times New Roman" w:hAnsi="Times New Roman" w:cs="Times New Roman"/>
          <w:sz w:val="24"/>
        </w:rPr>
        <w:t>. The reason as to courts struggle with this concept is because the legal liability of injury or damage does not always lie with everyone or everything that causes such damage or injury.</w:t>
      </w:r>
      <w:r w:rsidR="00E36581" w:rsidRPr="00E1267D">
        <w:rPr>
          <w:rFonts w:ascii="Times New Roman" w:hAnsi="Times New Roman" w:cs="Times New Roman"/>
          <w:sz w:val="24"/>
        </w:rPr>
        <w:t xml:space="preserve"> Consequently, the proximate cause only exists when it is properly proven that the resulting injury or damage was a foreseeable consequence of the defendant’s conduct.</w:t>
      </w:r>
    </w:p>
    <w:p w:rsidR="008C2546" w:rsidRPr="00E1267D" w:rsidRDefault="00E36581"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Q7</w:t>
      </w:r>
    </w:p>
    <w:p w:rsidR="00E36581" w:rsidRPr="00E1267D" w:rsidRDefault="008C2546"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 xml:space="preserve">A </w:t>
      </w:r>
    </w:p>
    <w:p w:rsidR="008C2546" w:rsidRPr="00E1267D" w:rsidRDefault="00B83AF1"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 xml:space="preserve">In this case, </w:t>
      </w:r>
      <w:r w:rsidR="00E36581" w:rsidRPr="00E1267D">
        <w:rPr>
          <w:rFonts w:ascii="Times New Roman" w:hAnsi="Times New Roman" w:cs="Times New Roman"/>
          <w:sz w:val="24"/>
        </w:rPr>
        <w:t xml:space="preserve">Mrs. </w:t>
      </w:r>
      <w:proofErr w:type="spellStart"/>
      <w:r w:rsidR="00E36581" w:rsidRPr="00E1267D">
        <w:rPr>
          <w:rFonts w:ascii="Times New Roman" w:hAnsi="Times New Roman" w:cs="Times New Roman"/>
          <w:sz w:val="24"/>
        </w:rPr>
        <w:t>Palsgraf</w:t>
      </w:r>
      <w:proofErr w:type="spellEnd"/>
      <w:r w:rsidR="00E36581" w:rsidRPr="00E1267D">
        <w:rPr>
          <w:rFonts w:ascii="Times New Roman" w:hAnsi="Times New Roman" w:cs="Times New Roman"/>
          <w:sz w:val="24"/>
        </w:rPr>
        <w:t xml:space="preserve"> </w:t>
      </w:r>
      <w:r w:rsidR="008C2546" w:rsidRPr="00E1267D">
        <w:rPr>
          <w:rFonts w:ascii="Times New Roman" w:hAnsi="Times New Roman" w:cs="Times New Roman"/>
          <w:sz w:val="24"/>
        </w:rPr>
        <w:t>was injured while standing on a railroad platform as a result of an accident involving a passenger with a package who was running to catch a departing train. As the passenger jumped to board the train, two railroad employees helped him so he would not fall off the train but in the process the passenger dropped his package containing fireworks that exploded upon hitting the tracks</w:t>
      </w:r>
      <w:r w:rsidR="00904FA9">
        <w:rPr>
          <w:rFonts w:ascii="Times New Roman" w:hAnsi="Times New Roman" w:cs="Times New Roman"/>
          <w:sz w:val="24"/>
        </w:rPr>
        <w:t xml:space="preserve"> </w:t>
      </w:r>
      <w:r w:rsidR="00904FA9" w:rsidRPr="00904FA9">
        <w:rPr>
          <w:rFonts w:ascii="Times New Roman" w:hAnsi="Times New Roman" w:cs="Times New Roman"/>
          <w:sz w:val="24"/>
        </w:rPr>
        <w:t>(Prosser, 1953)</w:t>
      </w:r>
      <w:r w:rsidR="008C2546" w:rsidRPr="00E1267D">
        <w:rPr>
          <w:rFonts w:ascii="Times New Roman" w:hAnsi="Times New Roman" w:cs="Times New Roman"/>
          <w:sz w:val="24"/>
        </w:rPr>
        <w:t xml:space="preserve">. The resulting explosion caused the scales to fall, striking </w:t>
      </w:r>
      <w:proofErr w:type="spellStart"/>
      <w:r w:rsidR="008C2546" w:rsidRPr="00E1267D">
        <w:rPr>
          <w:rFonts w:ascii="Times New Roman" w:hAnsi="Times New Roman" w:cs="Times New Roman"/>
          <w:sz w:val="24"/>
        </w:rPr>
        <w:t>Palsgraf</w:t>
      </w:r>
      <w:proofErr w:type="spellEnd"/>
      <w:r w:rsidR="008C2546" w:rsidRPr="00E1267D">
        <w:rPr>
          <w:rFonts w:ascii="Times New Roman" w:hAnsi="Times New Roman" w:cs="Times New Roman"/>
          <w:sz w:val="24"/>
        </w:rPr>
        <w:t xml:space="preserve">. She sued the railroad for the </w:t>
      </w:r>
      <w:proofErr w:type="spellStart"/>
      <w:r w:rsidR="008C2546" w:rsidRPr="00E1267D">
        <w:rPr>
          <w:rFonts w:ascii="Times New Roman" w:hAnsi="Times New Roman" w:cs="Times New Roman"/>
          <w:sz w:val="24"/>
        </w:rPr>
        <w:t>the</w:t>
      </w:r>
      <w:proofErr w:type="spellEnd"/>
      <w:r w:rsidR="008C2546" w:rsidRPr="00E1267D">
        <w:rPr>
          <w:rFonts w:ascii="Times New Roman" w:hAnsi="Times New Roman" w:cs="Times New Roman"/>
          <w:sz w:val="24"/>
        </w:rPr>
        <w:t xml:space="preserve"> negligent conduct of its employees that resulted into the passenger dropping his package of fireworks.</w:t>
      </w:r>
    </w:p>
    <w:p w:rsidR="008C2546" w:rsidRPr="00E1267D" w:rsidRDefault="008C2546"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lastRenderedPageBreak/>
        <w:t>B</w:t>
      </w:r>
    </w:p>
    <w:p w:rsidR="008C2546" w:rsidRPr="00E1267D" w:rsidRDefault="008C2546"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 xml:space="preserve">The majority rule was that </w:t>
      </w:r>
      <w:r w:rsidR="00AE4F0F" w:rsidRPr="00E1267D">
        <w:rPr>
          <w:rFonts w:ascii="Times New Roman" w:hAnsi="Times New Roman" w:cs="Times New Roman"/>
          <w:sz w:val="24"/>
        </w:rPr>
        <w:t>there was no proximate causation to the injury and hence the railroad employees were innocent</w:t>
      </w:r>
      <w:r w:rsidR="00904FA9">
        <w:rPr>
          <w:rFonts w:ascii="Times New Roman" w:hAnsi="Times New Roman" w:cs="Times New Roman"/>
          <w:sz w:val="24"/>
        </w:rPr>
        <w:t xml:space="preserve"> </w:t>
      </w:r>
      <w:r w:rsidR="00904FA9" w:rsidRPr="00904FA9">
        <w:rPr>
          <w:rFonts w:ascii="Times New Roman" w:hAnsi="Times New Roman" w:cs="Times New Roman"/>
          <w:sz w:val="24"/>
        </w:rPr>
        <w:t>(Prosser, 1953)</w:t>
      </w:r>
      <w:r w:rsidR="00AE4F0F" w:rsidRPr="00E1267D">
        <w:rPr>
          <w:rFonts w:ascii="Times New Roman" w:hAnsi="Times New Roman" w:cs="Times New Roman"/>
          <w:sz w:val="24"/>
        </w:rPr>
        <w:t xml:space="preserve">. This was because the injury sustained by Mrs. </w:t>
      </w:r>
      <w:proofErr w:type="spellStart"/>
      <w:r w:rsidR="00AE4F0F" w:rsidRPr="00E1267D">
        <w:rPr>
          <w:rFonts w:ascii="Times New Roman" w:hAnsi="Times New Roman" w:cs="Times New Roman"/>
          <w:sz w:val="24"/>
        </w:rPr>
        <w:t>Palsgraf</w:t>
      </w:r>
      <w:proofErr w:type="spellEnd"/>
      <w:r w:rsidR="00AE4F0F" w:rsidRPr="00E1267D">
        <w:rPr>
          <w:rFonts w:ascii="Times New Roman" w:hAnsi="Times New Roman" w:cs="Times New Roman"/>
          <w:sz w:val="24"/>
        </w:rPr>
        <w:t xml:space="preserve"> was not reasonably foreseeable by the train station. It was further stated that in this situation, there was nothing to indicate that the falling package had in it the potency of danger to people around the train.</w:t>
      </w:r>
    </w:p>
    <w:p w:rsidR="00AE4F0F" w:rsidRPr="00E1267D" w:rsidRDefault="00AE4F0F"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C</w:t>
      </w:r>
    </w:p>
    <w:p w:rsidR="00AE4F0F" w:rsidRPr="00E1267D" w:rsidRDefault="00AE4F0F"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The dissent disagreed with the majority rule because they felt that every person owes to the whole world at large the duty of refraining from those acts that may unreasonably threaten the safety of other people</w:t>
      </w:r>
      <w:r w:rsidR="00904FA9">
        <w:rPr>
          <w:rFonts w:ascii="Times New Roman" w:hAnsi="Times New Roman" w:cs="Times New Roman"/>
          <w:sz w:val="24"/>
        </w:rPr>
        <w:t xml:space="preserve"> </w:t>
      </w:r>
      <w:r w:rsidR="00904FA9" w:rsidRPr="00904FA9">
        <w:rPr>
          <w:rFonts w:ascii="Times New Roman" w:hAnsi="Times New Roman" w:cs="Times New Roman"/>
          <w:sz w:val="24"/>
        </w:rPr>
        <w:t>(Prosser, 1953)</w:t>
      </w:r>
      <w:r w:rsidRPr="00E1267D">
        <w:rPr>
          <w:rFonts w:ascii="Times New Roman" w:hAnsi="Times New Roman" w:cs="Times New Roman"/>
          <w:sz w:val="24"/>
        </w:rPr>
        <w:t xml:space="preserve">. </w:t>
      </w:r>
      <w:r w:rsidR="0093446E" w:rsidRPr="00E1267D">
        <w:rPr>
          <w:rFonts w:ascii="Times New Roman" w:hAnsi="Times New Roman" w:cs="Times New Roman"/>
          <w:sz w:val="24"/>
        </w:rPr>
        <w:t>They explained that by taking u</w:t>
      </w:r>
      <w:r w:rsidRPr="00E1267D">
        <w:rPr>
          <w:rFonts w:ascii="Times New Roman" w:hAnsi="Times New Roman" w:cs="Times New Roman"/>
          <w:sz w:val="24"/>
        </w:rPr>
        <w:t xml:space="preserve">nreasonable risk, </w:t>
      </w:r>
      <w:r w:rsidR="0093446E" w:rsidRPr="00E1267D">
        <w:rPr>
          <w:rFonts w:ascii="Times New Roman" w:hAnsi="Times New Roman" w:cs="Times New Roman"/>
          <w:sz w:val="24"/>
        </w:rPr>
        <w:t>the</w:t>
      </w:r>
      <w:r w:rsidRPr="00E1267D">
        <w:rPr>
          <w:rFonts w:ascii="Times New Roman" w:hAnsi="Times New Roman" w:cs="Times New Roman"/>
          <w:sz w:val="24"/>
        </w:rPr>
        <w:t xml:space="preserve"> consequences </w:t>
      </w:r>
      <w:r w:rsidR="0093446E" w:rsidRPr="00E1267D">
        <w:rPr>
          <w:rFonts w:ascii="Times New Roman" w:hAnsi="Times New Roman" w:cs="Times New Roman"/>
          <w:sz w:val="24"/>
        </w:rPr>
        <w:t xml:space="preserve">such risk </w:t>
      </w:r>
      <w:r w:rsidRPr="00E1267D">
        <w:rPr>
          <w:rFonts w:ascii="Times New Roman" w:hAnsi="Times New Roman" w:cs="Times New Roman"/>
          <w:sz w:val="24"/>
        </w:rPr>
        <w:t>are not confined to those who might probably be hurt</w:t>
      </w:r>
      <w:r w:rsidR="0093446E" w:rsidRPr="00E1267D">
        <w:rPr>
          <w:rFonts w:ascii="Times New Roman" w:hAnsi="Times New Roman" w:cs="Times New Roman"/>
          <w:sz w:val="24"/>
        </w:rPr>
        <w:t>, but to the world at large.</w:t>
      </w:r>
    </w:p>
    <w:p w:rsidR="0093446E" w:rsidRPr="00E1267D" w:rsidRDefault="0093446E"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D</w:t>
      </w:r>
    </w:p>
    <w:p w:rsidR="0093446E" w:rsidRPr="00E1267D" w:rsidRDefault="0093446E"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Most courts follow the majority opinion and not the dissent. This is because the majority opinion is a judicial opinion agreed to by more than half of the members of a court. By law, a majority opinion sets forth the decision of the court and an explanation of the rationale behind the court's decision.</w:t>
      </w:r>
    </w:p>
    <w:p w:rsidR="0093446E" w:rsidRPr="00E1267D" w:rsidRDefault="0093446E"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Q8</w:t>
      </w:r>
    </w:p>
    <w:p w:rsidR="0093446E" w:rsidRPr="00E1267D" w:rsidRDefault="009848E1"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 xml:space="preserve">The direct-causation rule is a minority test that serves to address only the physical concept of causation of an injury or damage. The main thrust of direct causation is that there are no </w:t>
      </w:r>
      <w:r w:rsidRPr="00E1267D">
        <w:rPr>
          <w:rFonts w:ascii="Times New Roman" w:hAnsi="Times New Roman" w:cs="Times New Roman"/>
          <w:sz w:val="24"/>
        </w:rPr>
        <w:lastRenderedPageBreak/>
        <w:t>intervening causes between an act and the resulting harm</w:t>
      </w:r>
      <w:r w:rsidR="00904FA9">
        <w:rPr>
          <w:rFonts w:ascii="Times New Roman" w:hAnsi="Times New Roman" w:cs="Times New Roman"/>
          <w:sz w:val="24"/>
        </w:rPr>
        <w:t xml:space="preserve"> </w:t>
      </w:r>
      <w:r w:rsidR="002E4775" w:rsidRPr="002E4775">
        <w:rPr>
          <w:rFonts w:ascii="Times New Roman" w:hAnsi="Times New Roman" w:cs="Times New Roman"/>
          <w:sz w:val="24"/>
        </w:rPr>
        <w:t>(</w:t>
      </w:r>
      <w:proofErr w:type="spellStart"/>
      <w:r w:rsidR="002E4775" w:rsidRPr="002E4775">
        <w:rPr>
          <w:rFonts w:ascii="Times New Roman" w:hAnsi="Times New Roman" w:cs="Times New Roman"/>
          <w:sz w:val="24"/>
        </w:rPr>
        <w:t>Thode</w:t>
      </w:r>
      <w:proofErr w:type="spellEnd"/>
      <w:r w:rsidR="002E4775" w:rsidRPr="002E4775">
        <w:rPr>
          <w:rFonts w:ascii="Times New Roman" w:hAnsi="Times New Roman" w:cs="Times New Roman"/>
          <w:sz w:val="24"/>
        </w:rPr>
        <w:t>, 1977)</w:t>
      </w:r>
      <w:r w:rsidRPr="00E1267D">
        <w:rPr>
          <w:rFonts w:ascii="Times New Roman" w:hAnsi="Times New Roman" w:cs="Times New Roman"/>
          <w:sz w:val="24"/>
        </w:rPr>
        <w:t>. A direct cause is an immediate legal basis without which an injury would not have occurred.</w:t>
      </w:r>
    </w:p>
    <w:p w:rsidR="009848E1" w:rsidRPr="00E1267D" w:rsidRDefault="009848E1"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A</w:t>
      </w:r>
    </w:p>
    <w:p w:rsidR="009848E1" w:rsidRPr="00E1267D" w:rsidRDefault="0056686B"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 xml:space="preserve">In </w:t>
      </w:r>
      <w:proofErr w:type="spellStart"/>
      <w:r w:rsidRPr="00E1267D">
        <w:rPr>
          <w:rFonts w:ascii="Times New Roman" w:hAnsi="Times New Roman" w:cs="Times New Roman"/>
          <w:sz w:val="24"/>
        </w:rPr>
        <w:t>Polemis</w:t>
      </w:r>
      <w:proofErr w:type="spellEnd"/>
      <w:r w:rsidRPr="00E1267D">
        <w:rPr>
          <w:rFonts w:ascii="Times New Roman" w:hAnsi="Times New Roman" w:cs="Times New Roman"/>
          <w:sz w:val="24"/>
        </w:rPr>
        <w:t>, the direct-causation rule was developed by tracing the act of the negligent defendant to the cause of fire damage. The Court held that, even though the fire itself may not have been foreseeable, the defendant was liable for the damage</w:t>
      </w:r>
      <w:r w:rsidR="002E4775">
        <w:rPr>
          <w:rFonts w:ascii="Times New Roman" w:hAnsi="Times New Roman" w:cs="Times New Roman"/>
          <w:sz w:val="24"/>
        </w:rPr>
        <w:t xml:space="preserve"> </w:t>
      </w:r>
      <w:r w:rsidR="002E4775" w:rsidRPr="002E4775">
        <w:rPr>
          <w:rFonts w:ascii="Times New Roman" w:hAnsi="Times New Roman" w:cs="Times New Roman"/>
          <w:sz w:val="24"/>
        </w:rPr>
        <w:t>(Fleming, 1961)</w:t>
      </w:r>
      <w:r w:rsidRPr="00E1267D">
        <w:rPr>
          <w:rFonts w:ascii="Times New Roman" w:hAnsi="Times New Roman" w:cs="Times New Roman"/>
          <w:sz w:val="24"/>
        </w:rPr>
        <w:t>. This is because the fire that consumed the ship was directly traceable to the negligent act of the defendant.</w:t>
      </w:r>
    </w:p>
    <w:p w:rsidR="0056686B" w:rsidRPr="00E1267D" w:rsidRDefault="0056686B"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B</w:t>
      </w:r>
    </w:p>
    <w:p w:rsidR="0056686B" w:rsidRPr="00E1267D" w:rsidRDefault="0056686B"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 xml:space="preserve">The court rule in </w:t>
      </w:r>
      <w:proofErr w:type="spellStart"/>
      <w:r w:rsidRPr="00E1267D">
        <w:rPr>
          <w:rFonts w:ascii="Times New Roman" w:hAnsi="Times New Roman" w:cs="Times New Roman"/>
          <w:sz w:val="24"/>
        </w:rPr>
        <w:t>Polemis</w:t>
      </w:r>
      <w:proofErr w:type="spellEnd"/>
      <w:r w:rsidRPr="00E1267D">
        <w:rPr>
          <w:rFonts w:ascii="Times New Roman" w:hAnsi="Times New Roman" w:cs="Times New Roman"/>
          <w:sz w:val="24"/>
        </w:rPr>
        <w:t xml:space="preserve"> is </w:t>
      </w:r>
      <w:r w:rsidR="00434944" w:rsidRPr="00E1267D">
        <w:rPr>
          <w:rFonts w:ascii="Times New Roman" w:hAnsi="Times New Roman" w:cs="Times New Roman"/>
          <w:sz w:val="24"/>
        </w:rPr>
        <w:t>highly criticized because it ignores the principle of foreseeability. The ruling stated that the defendant was liable for</w:t>
      </w:r>
      <w:r w:rsidR="00376D2B" w:rsidRPr="00E1267D">
        <w:rPr>
          <w:rFonts w:ascii="Times New Roman" w:hAnsi="Times New Roman" w:cs="Times New Roman"/>
          <w:sz w:val="24"/>
        </w:rPr>
        <w:t xml:space="preserve"> all the direct consequences of their action</w:t>
      </w:r>
      <w:r w:rsidR="002E4775">
        <w:rPr>
          <w:rFonts w:ascii="Times New Roman" w:hAnsi="Times New Roman" w:cs="Times New Roman"/>
          <w:sz w:val="24"/>
        </w:rPr>
        <w:t xml:space="preserve"> </w:t>
      </w:r>
      <w:r w:rsidR="002E4775" w:rsidRPr="002E4775">
        <w:rPr>
          <w:rFonts w:ascii="Times New Roman" w:hAnsi="Times New Roman" w:cs="Times New Roman"/>
          <w:sz w:val="24"/>
        </w:rPr>
        <w:t>(Fleming, 1961)</w:t>
      </w:r>
      <w:r w:rsidR="00376D2B" w:rsidRPr="00E1267D">
        <w:rPr>
          <w:rFonts w:ascii="Times New Roman" w:hAnsi="Times New Roman" w:cs="Times New Roman"/>
          <w:sz w:val="24"/>
        </w:rPr>
        <w:t>. This ignorance to the rule of foreseeability is the reason why this ruling is highly criticized.</w:t>
      </w:r>
    </w:p>
    <w:p w:rsidR="00800654" w:rsidRPr="00E1267D" w:rsidRDefault="00800654"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Q9</w:t>
      </w:r>
    </w:p>
    <w:p w:rsidR="00800654" w:rsidRPr="00E1267D" w:rsidRDefault="00800654"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Duty and proximate cause are related in the sense that the breach or violation of duty creates direct cause to damage or injury. In this case, breach or violation of duty becomes the proximate cause if such act results into damage or injury</w:t>
      </w:r>
      <w:r w:rsidR="002E4775">
        <w:rPr>
          <w:rFonts w:ascii="Times New Roman" w:hAnsi="Times New Roman" w:cs="Times New Roman"/>
          <w:sz w:val="24"/>
        </w:rPr>
        <w:t xml:space="preserve"> </w:t>
      </w:r>
      <w:r w:rsidR="002E4775" w:rsidRPr="002E4775">
        <w:rPr>
          <w:rFonts w:ascii="Times New Roman" w:hAnsi="Times New Roman" w:cs="Times New Roman"/>
          <w:sz w:val="24"/>
        </w:rPr>
        <w:t>(</w:t>
      </w:r>
      <w:proofErr w:type="spellStart"/>
      <w:r w:rsidR="002E4775" w:rsidRPr="002E4775">
        <w:rPr>
          <w:rFonts w:ascii="Times New Roman" w:hAnsi="Times New Roman" w:cs="Times New Roman"/>
          <w:sz w:val="24"/>
        </w:rPr>
        <w:t>Thode</w:t>
      </w:r>
      <w:proofErr w:type="spellEnd"/>
      <w:r w:rsidR="002E4775" w:rsidRPr="002E4775">
        <w:rPr>
          <w:rFonts w:ascii="Times New Roman" w:hAnsi="Times New Roman" w:cs="Times New Roman"/>
          <w:sz w:val="24"/>
        </w:rPr>
        <w:t>, 1977)</w:t>
      </w:r>
      <w:r w:rsidRPr="00E1267D">
        <w:rPr>
          <w:rFonts w:ascii="Times New Roman" w:hAnsi="Times New Roman" w:cs="Times New Roman"/>
          <w:sz w:val="24"/>
        </w:rPr>
        <w:t xml:space="preserve">. Therefore, for negligence to be </w:t>
      </w:r>
      <w:r w:rsidR="00217FDE" w:rsidRPr="00E1267D">
        <w:rPr>
          <w:rFonts w:ascii="Times New Roman" w:hAnsi="Times New Roman" w:cs="Times New Roman"/>
          <w:sz w:val="24"/>
        </w:rPr>
        <w:t xml:space="preserve">granted, breach or violation of duty must be proved as the proximate cause </w:t>
      </w:r>
      <w:r w:rsidRPr="00E1267D">
        <w:rPr>
          <w:rFonts w:ascii="Times New Roman" w:hAnsi="Times New Roman" w:cs="Times New Roman"/>
          <w:sz w:val="24"/>
        </w:rPr>
        <w:t>injuries</w:t>
      </w:r>
      <w:r w:rsidR="00217FDE" w:rsidRPr="00E1267D">
        <w:rPr>
          <w:rFonts w:ascii="Times New Roman" w:hAnsi="Times New Roman" w:cs="Times New Roman"/>
          <w:sz w:val="24"/>
        </w:rPr>
        <w:t xml:space="preserve"> or damages</w:t>
      </w:r>
      <w:r w:rsidRPr="00E1267D">
        <w:rPr>
          <w:rFonts w:ascii="Times New Roman" w:hAnsi="Times New Roman" w:cs="Times New Roman"/>
          <w:sz w:val="24"/>
        </w:rPr>
        <w:t>.</w:t>
      </w:r>
    </w:p>
    <w:p w:rsidR="00217FDE" w:rsidRPr="00E1267D" w:rsidRDefault="00AD6E93"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Q10</w:t>
      </w:r>
    </w:p>
    <w:p w:rsidR="00AD6E93" w:rsidRPr="00E1267D" w:rsidRDefault="00AD6E93" w:rsidP="002E4775">
      <w:pPr>
        <w:pStyle w:val="ListParagraph"/>
        <w:numPr>
          <w:ilvl w:val="0"/>
          <w:numId w:val="1"/>
        </w:numPr>
        <w:spacing w:line="480" w:lineRule="auto"/>
        <w:jc w:val="both"/>
        <w:rPr>
          <w:rFonts w:ascii="Times New Roman" w:hAnsi="Times New Roman" w:cs="Times New Roman"/>
          <w:sz w:val="24"/>
        </w:rPr>
      </w:pPr>
      <w:r w:rsidRPr="00E1267D">
        <w:rPr>
          <w:rFonts w:ascii="Times New Roman" w:hAnsi="Times New Roman" w:cs="Times New Roman"/>
          <w:sz w:val="24"/>
        </w:rPr>
        <w:t>Under the “eggshell skull” rule, if a plaintiff suffers any foreseeable injury, the defendant is liable for any additional unforeseeable physical consequences</w:t>
      </w:r>
      <w:r w:rsidR="002E4775">
        <w:rPr>
          <w:rFonts w:ascii="Times New Roman" w:hAnsi="Times New Roman" w:cs="Times New Roman"/>
          <w:sz w:val="24"/>
        </w:rPr>
        <w:t xml:space="preserve"> </w:t>
      </w:r>
      <w:r w:rsidR="002E4775" w:rsidRPr="002E4775">
        <w:rPr>
          <w:rFonts w:ascii="Times New Roman" w:hAnsi="Times New Roman" w:cs="Times New Roman"/>
          <w:sz w:val="24"/>
        </w:rPr>
        <w:t>(Kaufman, 1999)</w:t>
      </w:r>
      <w:r w:rsidRPr="00E1267D">
        <w:rPr>
          <w:rFonts w:ascii="Times New Roman" w:hAnsi="Times New Roman" w:cs="Times New Roman"/>
          <w:sz w:val="24"/>
        </w:rPr>
        <w:t>.</w:t>
      </w:r>
    </w:p>
    <w:p w:rsidR="00AD6E93" w:rsidRPr="00E1267D" w:rsidRDefault="00AD6E93" w:rsidP="002E4775">
      <w:pPr>
        <w:pStyle w:val="ListParagraph"/>
        <w:numPr>
          <w:ilvl w:val="0"/>
          <w:numId w:val="1"/>
        </w:numPr>
        <w:spacing w:line="480" w:lineRule="auto"/>
        <w:jc w:val="both"/>
        <w:rPr>
          <w:rFonts w:ascii="Times New Roman" w:hAnsi="Times New Roman" w:cs="Times New Roman"/>
          <w:sz w:val="24"/>
        </w:rPr>
      </w:pPr>
      <w:r w:rsidRPr="00E1267D">
        <w:rPr>
          <w:rFonts w:ascii="Times New Roman" w:hAnsi="Times New Roman" w:cs="Times New Roman"/>
          <w:sz w:val="24"/>
        </w:rPr>
        <w:lastRenderedPageBreak/>
        <w:t>A defendant is liable if the harm suffered by the plaintiff is of the general type that made the defendant’s conduct negligent, even if the harm occurs in an unanticipated manner</w:t>
      </w:r>
      <w:r w:rsidR="002E4775">
        <w:rPr>
          <w:rFonts w:ascii="Times New Roman" w:hAnsi="Times New Roman" w:cs="Times New Roman"/>
          <w:sz w:val="24"/>
        </w:rPr>
        <w:t xml:space="preserve"> </w:t>
      </w:r>
      <w:r w:rsidR="002E4775" w:rsidRPr="002E4775">
        <w:rPr>
          <w:rFonts w:ascii="Times New Roman" w:hAnsi="Times New Roman" w:cs="Times New Roman"/>
          <w:sz w:val="24"/>
        </w:rPr>
        <w:t>(Kaufman, 1999)</w:t>
      </w:r>
      <w:r w:rsidRPr="00E1267D">
        <w:rPr>
          <w:rFonts w:ascii="Times New Roman" w:hAnsi="Times New Roman" w:cs="Times New Roman"/>
          <w:sz w:val="24"/>
        </w:rPr>
        <w:t>.</w:t>
      </w:r>
    </w:p>
    <w:p w:rsidR="00AD6E93" w:rsidRPr="00E1267D" w:rsidRDefault="00AD6E93" w:rsidP="002E4775">
      <w:pPr>
        <w:pStyle w:val="ListParagraph"/>
        <w:numPr>
          <w:ilvl w:val="0"/>
          <w:numId w:val="1"/>
        </w:numPr>
        <w:spacing w:line="480" w:lineRule="auto"/>
        <w:jc w:val="both"/>
        <w:rPr>
          <w:rFonts w:ascii="Times New Roman" w:hAnsi="Times New Roman" w:cs="Times New Roman"/>
          <w:sz w:val="24"/>
        </w:rPr>
      </w:pPr>
      <w:r w:rsidRPr="00E1267D">
        <w:rPr>
          <w:rFonts w:ascii="Times New Roman" w:hAnsi="Times New Roman" w:cs="Times New Roman"/>
          <w:sz w:val="24"/>
        </w:rPr>
        <w:t>A defendant is liable as long as the plaintiff is a member of the class to which there is a reasonable foreseeability of harm, even if the plaintiff is not a particularly foreseeable plaintiff</w:t>
      </w:r>
      <w:r w:rsidR="002E4775">
        <w:rPr>
          <w:rFonts w:ascii="Times New Roman" w:hAnsi="Times New Roman" w:cs="Times New Roman"/>
          <w:sz w:val="24"/>
        </w:rPr>
        <w:t xml:space="preserve"> </w:t>
      </w:r>
      <w:r w:rsidR="002E4775" w:rsidRPr="002E4775">
        <w:rPr>
          <w:rFonts w:ascii="Times New Roman" w:hAnsi="Times New Roman" w:cs="Times New Roman"/>
          <w:sz w:val="24"/>
        </w:rPr>
        <w:t>(Kaufman, 1999)</w:t>
      </w:r>
      <w:r w:rsidRPr="00E1267D">
        <w:rPr>
          <w:rFonts w:ascii="Times New Roman" w:hAnsi="Times New Roman" w:cs="Times New Roman"/>
          <w:sz w:val="24"/>
        </w:rPr>
        <w:t>.</w:t>
      </w:r>
    </w:p>
    <w:p w:rsidR="00AD6E93" w:rsidRPr="00E1267D" w:rsidRDefault="00AD6E93"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Q11</w:t>
      </w:r>
    </w:p>
    <w:p w:rsidR="00AD6E93" w:rsidRPr="00E1267D" w:rsidRDefault="00AD6E93"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An intervening cause is an event that occurs after a tortfeasor's initial act of negligence and causes harm to a victim</w:t>
      </w:r>
      <w:r w:rsidR="000B533A">
        <w:rPr>
          <w:rFonts w:ascii="Times New Roman" w:hAnsi="Times New Roman" w:cs="Times New Roman"/>
          <w:sz w:val="24"/>
        </w:rPr>
        <w:t xml:space="preserve"> </w:t>
      </w:r>
      <w:r w:rsidR="000B533A" w:rsidRPr="000B533A">
        <w:rPr>
          <w:rFonts w:ascii="Times New Roman" w:hAnsi="Times New Roman" w:cs="Times New Roman"/>
          <w:sz w:val="24"/>
        </w:rPr>
        <w:t>(Gash, 2002)</w:t>
      </w:r>
      <w:r w:rsidRPr="00E1267D">
        <w:rPr>
          <w:rFonts w:ascii="Times New Roman" w:hAnsi="Times New Roman" w:cs="Times New Roman"/>
          <w:sz w:val="24"/>
        </w:rPr>
        <w:t>.</w:t>
      </w:r>
      <w:r w:rsidR="00C55F65" w:rsidRPr="00E1267D">
        <w:rPr>
          <w:rFonts w:ascii="Times New Roman" w:hAnsi="Times New Roman" w:cs="Times New Roman"/>
          <w:sz w:val="24"/>
        </w:rPr>
        <w:t xml:space="preserve"> On the other hand, a superseding cause is an unforeseeable intervening cause. By contrast, a foreseeable intervening cause typically does not break the chain of causality, meaning that the tortfeasor is still responsible for the victim's injury.</w:t>
      </w:r>
    </w:p>
    <w:p w:rsidR="00C55F65" w:rsidRPr="00E1267D" w:rsidRDefault="00C55F65"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A</w:t>
      </w:r>
    </w:p>
    <w:p w:rsidR="00C55F65" w:rsidRPr="00E1267D" w:rsidRDefault="00E1267D"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Ken</w:t>
      </w:r>
      <w:r w:rsidR="00C55F65" w:rsidRPr="00E1267D">
        <w:rPr>
          <w:rFonts w:ascii="Times New Roman" w:hAnsi="Times New Roman" w:cs="Times New Roman"/>
          <w:sz w:val="24"/>
        </w:rPr>
        <w:t xml:space="preserve"> agrees to keep Ron’s horse in his corral for a week while Ron moves. </w:t>
      </w:r>
      <w:r w:rsidRPr="00E1267D">
        <w:rPr>
          <w:rFonts w:ascii="Times New Roman" w:hAnsi="Times New Roman" w:cs="Times New Roman"/>
          <w:sz w:val="24"/>
        </w:rPr>
        <w:t>Ken</w:t>
      </w:r>
      <w:r w:rsidR="00C55F65" w:rsidRPr="00E1267D">
        <w:rPr>
          <w:rFonts w:ascii="Times New Roman" w:hAnsi="Times New Roman" w:cs="Times New Roman"/>
          <w:sz w:val="24"/>
        </w:rPr>
        <w:t xml:space="preserve"> puts the horse in a pen has a section of fence that is damaged, and falling apart. During a thunder storm, the horse is spooked, and runs through the damaged section, breaking his leg so severely that he has to be put down. In this situation, a horse kept in a damaged corral is quite likely to escape, or to be injured.</w:t>
      </w:r>
    </w:p>
    <w:p w:rsidR="00C55F65" w:rsidRPr="00E1267D" w:rsidRDefault="00E1267D"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Ken</w:t>
      </w:r>
      <w:r w:rsidR="00C55F65" w:rsidRPr="00E1267D">
        <w:rPr>
          <w:rFonts w:ascii="Times New Roman" w:hAnsi="Times New Roman" w:cs="Times New Roman"/>
          <w:sz w:val="24"/>
        </w:rPr>
        <w:t xml:space="preserve"> might attempt to escape liability</w:t>
      </w:r>
      <w:r w:rsidRPr="00E1267D">
        <w:rPr>
          <w:rFonts w:ascii="Times New Roman" w:hAnsi="Times New Roman" w:cs="Times New Roman"/>
          <w:sz w:val="24"/>
        </w:rPr>
        <w:t>,</w:t>
      </w:r>
      <w:r w:rsidR="00C55F65" w:rsidRPr="00E1267D">
        <w:rPr>
          <w:rFonts w:ascii="Times New Roman" w:hAnsi="Times New Roman" w:cs="Times New Roman"/>
          <w:sz w:val="24"/>
        </w:rPr>
        <w:t xml:space="preserve"> and the hefty price tag for the horse</w:t>
      </w:r>
      <w:r w:rsidRPr="00E1267D">
        <w:rPr>
          <w:rFonts w:ascii="Times New Roman" w:hAnsi="Times New Roman" w:cs="Times New Roman"/>
          <w:sz w:val="24"/>
        </w:rPr>
        <w:t xml:space="preserve">, </w:t>
      </w:r>
      <w:r w:rsidR="00C55F65" w:rsidRPr="00E1267D">
        <w:rPr>
          <w:rFonts w:ascii="Times New Roman" w:hAnsi="Times New Roman" w:cs="Times New Roman"/>
          <w:sz w:val="24"/>
        </w:rPr>
        <w:t xml:space="preserve">by claiming that the storm was an intervening cause that resulted in the horse’s injuries. However, the outcome of </w:t>
      </w:r>
      <w:r w:rsidRPr="00E1267D">
        <w:rPr>
          <w:rFonts w:ascii="Times New Roman" w:hAnsi="Times New Roman" w:cs="Times New Roman"/>
          <w:sz w:val="24"/>
        </w:rPr>
        <w:t>Ken</w:t>
      </w:r>
      <w:r w:rsidR="00C55F65" w:rsidRPr="00E1267D">
        <w:rPr>
          <w:rFonts w:ascii="Times New Roman" w:hAnsi="Times New Roman" w:cs="Times New Roman"/>
          <w:sz w:val="24"/>
        </w:rPr>
        <w:t xml:space="preserve">’s actions in putting the horse in the damaged pen could reasonably lead to the injuries. In this case, </w:t>
      </w:r>
      <w:r w:rsidRPr="00E1267D">
        <w:rPr>
          <w:rFonts w:ascii="Times New Roman" w:hAnsi="Times New Roman" w:cs="Times New Roman"/>
          <w:sz w:val="24"/>
        </w:rPr>
        <w:t>Ken</w:t>
      </w:r>
      <w:r w:rsidR="00C55F65" w:rsidRPr="00E1267D">
        <w:rPr>
          <w:rFonts w:ascii="Times New Roman" w:hAnsi="Times New Roman" w:cs="Times New Roman"/>
          <w:sz w:val="24"/>
        </w:rPr>
        <w:t xml:space="preserve"> cannot escape liability, even though there was an intervening cause.</w:t>
      </w:r>
    </w:p>
    <w:p w:rsidR="00C55F65" w:rsidRPr="00E1267D" w:rsidRDefault="00C55F65"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B</w:t>
      </w:r>
    </w:p>
    <w:p w:rsidR="00C55F65" w:rsidRPr="00E1267D" w:rsidRDefault="00E1267D"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lastRenderedPageBreak/>
        <w:t>Ken</w:t>
      </w:r>
      <w:r w:rsidR="00C55F65" w:rsidRPr="00E1267D">
        <w:rPr>
          <w:rFonts w:ascii="Times New Roman" w:hAnsi="Times New Roman" w:cs="Times New Roman"/>
          <w:sz w:val="24"/>
        </w:rPr>
        <w:t xml:space="preserve"> is in an automobile accident, which was caused by </w:t>
      </w:r>
      <w:r w:rsidRPr="00E1267D">
        <w:rPr>
          <w:rFonts w:ascii="Times New Roman" w:hAnsi="Times New Roman" w:cs="Times New Roman"/>
          <w:sz w:val="24"/>
        </w:rPr>
        <w:t>Wendy</w:t>
      </w:r>
      <w:r w:rsidR="00C55F65" w:rsidRPr="00E1267D">
        <w:rPr>
          <w:rFonts w:ascii="Times New Roman" w:hAnsi="Times New Roman" w:cs="Times New Roman"/>
          <w:sz w:val="24"/>
        </w:rPr>
        <w:t xml:space="preserve">’s running a stop sign. </w:t>
      </w:r>
      <w:r w:rsidRPr="00E1267D">
        <w:rPr>
          <w:rFonts w:ascii="Times New Roman" w:hAnsi="Times New Roman" w:cs="Times New Roman"/>
          <w:sz w:val="24"/>
        </w:rPr>
        <w:t>Ken</w:t>
      </w:r>
      <w:r w:rsidR="00C55F65" w:rsidRPr="00E1267D">
        <w:rPr>
          <w:rFonts w:ascii="Times New Roman" w:hAnsi="Times New Roman" w:cs="Times New Roman"/>
          <w:sz w:val="24"/>
        </w:rPr>
        <w:t xml:space="preserve">’s car is damaged in the front quarter panel. </w:t>
      </w:r>
      <w:r w:rsidRPr="00E1267D">
        <w:rPr>
          <w:rFonts w:ascii="Times New Roman" w:hAnsi="Times New Roman" w:cs="Times New Roman"/>
          <w:sz w:val="24"/>
        </w:rPr>
        <w:t>Ken</w:t>
      </w:r>
      <w:r w:rsidR="00C55F65" w:rsidRPr="00E1267D">
        <w:rPr>
          <w:rFonts w:ascii="Times New Roman" w:hAnsi="Times New Roman" w:cs="Times New Roman"/>
          <w:sz w:val="24"/>
        </w:rPr>
        <w:t xml:space="preserve"> just has time to realize his arm hurts before a tow truck, happening on the scene, rams into </w:t>
      </w:r>
      <w:r w:rsidRPr="00E1267D">
        <w:rPr>
          <w:rFonts w:ascii="Times New Roman" w:hAnsi="Times New Roman" w:cs="Times New Roman"/>
          <w:sz w:val="24"/>
        </w:rPr>
        <w:t>Ken</w:t>
      </w:r>
      <w:r w:rsidR="00C55F65" w:rsidRPr="00E1267D">
        <w:rPr>
          <w:rFonts w:ascii="Times New Roman" w:hAnsi="Times New Roman" w:cs="Times New Roman"/>
          <w:sz w:val="24"/>
        </w:rPr>
        <w:t xml:space="preserve">’s car, pushing it into a ditch. </w:t>
      </w:r>
      <w:r w:rsidRPr="00E1267D">
        <w:rPr>
          <w:rFonts w:ascii="Times New Roman" w:hAnsi="Times New Roman" w:cs="Times New Roman"/>
          <w:sz w:val="24"/>
        </w:rPr>
        <w:t>Ken</w:t>
      </w:r>
      <w:r w:rsidR="00C55F65" w:rsidRPr="00E1267D">
        <w:rPr>
          <w:rFonts w:ascii="Times New Roman" w:hAnsi="Times New Roman" w:cs="Times New Roman"/>
          <w:sz w:val="24"/>
        </w:rPr>
        <w:t>’s car ended up totaled, and he suffered a broken arm, two broken ribs, and a severe neck strain.</w:t>
      </w:r>
    </w:p>
    <w:p w:rsidR="00C55F65" w:rsidRPr="00E1267D" w:rsidRDefault="00E1267D"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Ken</w:t>
      </w:r>
      <w:r w:rsidR="00C55F65" w:rsidRPr="00E1267D">
        <w:rPr>
          <w:rFonts w:ascii="Times New Roman" w:hAnsi="Times New Roman" w:cs="Times New Roman"/>
          <w:sz w:val="24"/>
        </w:rPr>
        <w:t xml:space="preserve"> files a civil lawsuit against </w:t>
      </w:r>
      <w:r w:rsidRPr="00E1267D">
        <w:rPr>
          <w:rFonts w:ascii="Times New Roman" w:hAnsi="Times New Roman" w:cs="Times New Roman"/>
          <w:sz w:val="24"/>
        </w:rPr>
        <w:t>Wendy</w:t>
      </w:r>
      <w:r w:rsidR="00C55F65" w:rsidRPr="00E1267D">
        <w:rPr>
          <w:rFonts w:ascii="Times New Roman" w:hAnsi="Times New Roman" w:cs="Times New Roman"/>
          <w:sz w:val="24"/>
        </w:rPr>
        <w:t xml:space="preserve"> because she ran the stop sign and hit him. </w:t>
      </w:r>
      <w:r w:rsidRPr="00E1267D">
        <w:rPr>
          <w:rFonts w:ascii="Times New Roman" w:hAnsi="Times New Roman" w:cs="Times New Roman"/>
          <w:sz w:val="24"/>
        </w:rPr>
        <w:t>Ken</w:t>
      </w:r>
      <w:r w:rsidR="00C55F65" w:rsidRPr="00E1267D">
        <w:rPr>
          <w:rFonts w:ascii="Times New Roman" w:hAnsi="Times New Roman" w:cs="Times New Roman"/>
          <w:sz w:val="24"/>
        </w:rPr>
        <w:t xml:space="preserve"> seeks payment for his totaled car, as well as for his medical bills, and pain and suffering, to the tune of more than $10,000. At trial, </w:t>
      </w:r>
      <w:r w:rsidRPr="00E1267D">
        <w:rPr>
          <w:rFonts w:ascii="Times New Roman" w:hAnsi="Times New Roman" w:cs="Times New Roman"/>
          <w:sz w:val="24"/>
        </w:rPr>
        <w:t>Wendy</w:t>
      </w:r>
      <w:r w:rsidR="00C55F65" w:rsidRPr="00E1267D">
        <w:rPr>
          <w:rFonts w:ascii="Times New Roman" w:hAnsi="Times New Roman" w:cs="Times New Roman"/>
          <w:sz w:val="24"/>
        </w:rPr>
        <w:t xml:space="preserve"> claims she cannot be held solely responsible, as the tow truck hitting </w:t>
      </w:r>
      <w:r w:rsidRPr="00E1267D">
        <w:rPr>
          <w:rFonts w:ascii="Times New Roman" w:hAnsi="Times New Roman" w:cs="Times New Roman"/>
          <w:sz w:val="24"/>
        </w:rPr>
        <w:t>Ken</w:t>
      </w:r>
      <w:r w:rsidR="00C55F65" w:rsidRPr="00E1267D">
        <w:rPr>
          <w:rFonts w:ascii="Times New Roman" w:hAnsi="Times New Roman" w:cs="Times New Roman"/>
          <w:sz w:val="24"/>
        </w:rPr>
        <w:t>’s car caused a great deal of the damages, and his injuries.</w:t>
      </w:r>
    </w:p>
    <w:p w:rsidR="00C55F65" w:rsidRPr="00E1267D" w:rsidRDefault="00C55F65"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 xml:space="preserve">In this example, the superseding cause was the tow truck running into the already damaged vehicle. While </w:t>
      </w:r>
      <w:r w:rsidR="00E1267D" w:rsidRPr="00E1267D">
        <w:rPr>
          <w:rFonts w:ascii="Times New Roman" w:hAnsi="Times New Roman" w:cs="Times New Roman"/>
          <w:sz w:val="24"/>
        </w:rPr>
        <w:t>Ken</w:t>
      </w:r>
      <w:r w:rsidRPr="00E1267D">
        <w:rPr>
          <w:rFonts w:ascii="Times New Roman" w:hAnsi="Times New Roman" w:cs="Times New Roman"/>
          <w:sz w:val="24"/>
        </w:rPr>
        <w:t xml:space="preserve">’s damages and injuries could be foreseen as the result of </w:t>
      </w:r>
      <w:r w:rsidR="00E1267D" w:rsidRPr="00E1267D">
        <w:rPr>
          <w:rFonts w:ascii="Times New Roman" w:hAnsi="Times New Roman" w:cs="Times New Roman"/>
          <w:sz w:val="24"/>
        </w:rPr>
        <w:t>Wendy</w:t>
      </w:r>
      <w:r w:rsidRPr="00E1267D">
        <w:rPr>
          <w:rFonts w:ascii="Times New Roman" w:hAnsi="Times New Roman" w:cs="Times New Roman"/>
          <w:sz w:val="24"/>
        </w:rPr>
        <w:t xml:space="preserve"> running the stop sign, the impact of a tow truck that happened by could not.</w:t>
      </w:r>
    </w:p>
    <w:p w:rsidR="00C55F65" w:rsidRPr="00E1267D" w:rsidRDefault="00C55F65"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Q12</w:t>
      </w:r>
    </w:p>
    <w:p w:rsidR="003C04D8" w:rsidRPr="00E1267D" w:rsidRDefault="003C04D8"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When the unforeseeable intervening cause does not disrupt the causal chain. This allows for the link between the defendant’s conduct and the plaintiff’s injury to exist.</w:t>
      </w:r>
    </w:p>
    <w:p w:rsidR="00E11E28" w:rsidRPr="00E1267D" w:rsidRDefault="00E11E28"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Q13</w:t>
      </w:r>
    </w:p>
    <w:p w:rsidR="00E11E28" w:rsidRPr="00E1267D" w:rsidRDefault="008F7217" w:rsidP="00E1267D">
      <w:pPr>
        <w:spacing w:line="480" w:lineRule="auto"/>
        <w:ind w:firstLine="720"/>
        <w:jc w:val="both"/>
        <w:rPr>
          <w:rFonts w:ascii="Times New Roman" w:hAnsi="Times New Roman" w:cs="Times New Roman"/>
          <w:sz w:val="24"/>
        </w:rPr>
      </w:pPr>
      <w:r w:rsidRPr="00E1267D">
        <w:rPr>
          <w:rFonts w:ascii="Times New Roman" w:hAnsi="Times New Roman" w:cs="Times New Roman"/>
          <w:sz w:val="24"/>
        </w:rPr>
        <w:t>The question of proximate cause is a question for judges. This is because the judges must seek clarity as to whether the defendant’s acts caused the plaintiff’s injury. This is necessary question to the judges since not everyone or everything that causes an injury is legally liable.</w:t>
      </w:r>
    </w:p>
    <w:p w:rsidR="003C04D8" w:rsidRPr="00E1267D" w:rsidRDefault="003C04D8" w:rsidP="00E1267D">
      <w:pPr>
        <w:spacing w:line="480" w:lineRule="auto"/>
        <w:ind w:firstLine="720"/>
        <w:jc w:val="both"/>
        <w:rPr>
          <w:rFonts w:ascii="Times New Roman" w:hAnsi="Times New Roman" w:cs="Times New Roman"/>
          <w:sz w:val="24"/>
        </w:rPr>
      </w:pPr>
    </w:p>
    <w:p w:rsidR="00C55F65" w:rsidRPr="00E1267D" w:rsidRDefault="00C55F65" w:rsidP="00E1267D">
      <w:pPr>
        <w:spacing w:line="480" w:lineRule="auto"/>
        <w:ind w:firstLine="720"/>
        <w:jc w:val="both"/>
        <w:rPr>
          <w:rFonts w:ascii="Times New Roman" w:hAnsi="Times New Roman" w:cs="Times New Roman"/>
          <w:sz w:val="24"/>
        </w:rPr>
      </w:pPr>
    </w:p>
    <w:p w:rsidR="00AD6E93" w:rsidRPr="00E1267D" w:rsidRDefault="00AD6E93" w:rsidP="00E1267D">
      <w:pPr>
        <w:spacing w:line="480" w:lineRule="auto"/>
        <w:ind w:firstLine="720"/>
        <w:jc w:val="both"/>
        <w:rPr>
          <w:rFonts w:ascii="Times New Roman" w:hAnsi="Times New Roman" w:cs="Times New Roman"/>
          <w:sz w:val="24"/>
        </w:rPr>
      </w:pPr>
    </w:p>
    <w:p w:rsidR="00E36581" w:rsidRPr="000B533A" w:rsidRDefault="00904FA9" w:rsidP="000B533A">
      <w:pPr>
        <w:spacing w:line="480" w:lineRule="auto"/>
        <w:jc w:val="center"/>
        <w:rPr>
          <w:rFonts w:ascii="Times New Roman" w:hAnsi="Times New Roman" w:cs="Times New Roman"/>
          <w:b/>
          <w:sz w:val="24"/>
        </w:rPr>
      </w:pPr>
      <w:r w:rsidRPr="000B533A">
        <w:rPr>
          <w:rFonts w:ascii="Times New Roman" w:hAnsi="Times New Roman" w:cs="Times New Roman"/>
          <w:b/>
          <w:sz w:val="24"/>
        </w:rPr>
        <w:lastRenderedPageBreak/>
        <w:t>Works Cited</w:t>
      </w:r>
    </w:p>
    <w:p w:rsidR="000B533A" w:rsidRDefault="000B533A" w:rsidP="000B533A">
      <w:pPr>
        <w:spacing w:line="480" w:lineRule="auto"/>
        <w:ind w:left="720" w:hanging="720"/>
        <w:jc w:val="both"/>
        <w:rPr>
          <w:rFonts w:ascii="Times New Roman" w:hAnsi="Times New Roman" w:cs="Times New Roman"/>
          <w:sz w:val="24"/>
        </w:rPr>
      </w:pPr>
      <w:r w:rsidRPr="002E4775">
        <w:rPr>
          <w:rFonts w:ascii="Times New Roman" w:hAnsi="Times New Roman" w:cs="Times New Roman"/>
          <w:sz w:val="24"/>
        </w:rPr>
        <w:t xml:space="preserve">Fleming, John G. "The Passing of </w:t>
      </w:r>
      <w:proofErr w:type="spellStart"/>
      <w:r w:rsidRPr="002E4775">
        <w:rPr>
          <w:rFonts w:ascii="Times New Roman" w:hAnsi="Times New Roman" w:cs="Times New Roman"/>
          <w:sz w:val="24"/>
        </w:rPr>
        <w:t>Polemis</w:t>
      </w:r>
      <w:proofErr w:type="spellEnd"/>
      <w:r w:rsidRPr="002E4775">
        <w:rPr>
          <w:rFonts w:ascii="Times New Roman" w:hAnsi="Times New Roman" w:cs="Times New Roman"/>
          <w:sz w:val="24"/>
        </w:rPr>
        <w:t>." Can. B. Rev. 39 (1961): 489.</w:t>
      </w:r>
    </w:p>
    <w:p w:rsidR="000B533A" w:rsidRPr="002E4775" w:rsidRDefault="000B533A" w:rsidP="000B533A">
      <w:pPr>
        <w:spacing w:line="480" w:lineRule="auto"/>
        <w:ind w:left="720" w:hanging="720"/>
        <w:jc w:val="both"/>
        <w:rPr>
          <w:rFonts w:ascii="Times New Roman" w:hAnsi="Times New Roman" w:cs="Times New Roman"/>
          <w:sz w:val="24"/>
        </w:rPr>
      </w:pPr>
      <w:r w:rsidRPr="000B533A">
        <w:rPr>
          <w:rFonts w:ascii="Times New Roman" w:hAnsi="Times New Roman" w:cs="Times New Roman"/>
          <w:sz w:val="24"/>
        </w:rPr>
        <w:t>Gash, Jim. "At the intersection of proximate cause and terrorism: A contextual analysis of the (proposed) Restatement Third of Torts' approach to intervening and superseding causes." Ky. LJ 91 (2002): 523.</w:t>
      </w:r>
    </w:p>
    <w:p w:rsidR="000B533A" w:rsidRDefault="000B533A" w:rsidP="000B533A">
      <w:pPr>
        <w:spacing w:line="480" w:lineRule="auto"/>
        <w:ind w:left="720" w:hanging="720"/>
        <w:jc w:val="both"/>
        <w:rPr>
          <w:rFonts w:ascii="Times New Roman" w:hAnsi="Times New Roman" w:cs="Times New Roman"/>
          <w:sz w:val="24"/>
        </w:rPr>
      </w:pPr>
      <w:r w:rsidRPr="00904FA9">
        <w:rPr>
          <w:rFonts w:ascii="Times New Roman" w:hAnsi="Times New Roman" w:cs="Times New Roman"/>
          <w:sz w:val="24"/>
        </w:rPr>
        <w:t>Grady, Mark F. "Proximate cause and the law of negligence." Iowa L. Rev. 69 (1983): 363.</w:t>
      </w:r>
      <w:bookmarkStart w:id="0" w:name="_GoBack"/>
      <w:bookmarkEnd w:id="0"/>
    </w:p>
    <w:p w:rsidR="000B533A" w:rsidRDefault="000B533A" w:rsidP="000B533A">
      <w:pPr>
        <w:spacing w:line="480" w:lineRule="auto"/>
        <w:ind w:left="720" w:hanging="720"/>
        <w:jc w:val="both"/>
        <w:rPr>
          <w:rFonts w:ascii="Times New Roman" w:hAnsi="Times New Roman" w:cs="Times New Roman"/>
          <w:sz w:val="24"/>
        </w:rPr>
      </w:pPr>
      <w:r w:rsidRPr="002E4775">
        <w:rPr>
          <w:rFonts w:ascii="Times New Roman" w:hAnsi="Times New Roman" w:cs="Times New Roman"/>
          <w:sz w:val="24"/>
        </w:rPr>
        <w:t>Kaufman, Andrew L. "Benjamin Cardozo as Paradigmatic Tort Lawmaker." DePaul L. Rev. 49 (1999): 281.</w:t>
      </w:r>
    </w:p>
    <w:p w:rsidR="000B533A" w:rsidRDefault="000B533A" w:rsidP="000B533A">
      <w:pPr>
        <w:spacing w:line="480" w:lineRule="auto"/>
        <w:ind w:left="720" w:hanging="720"/>
        <w:jc w:val="both"/>
        <w:rPr>
          <w:rFonts w:ascii="Times New Roman" w:hAnsi="Times New Roman" w:cs="Times New Roman"/>
          <w:sz w:val="24"/>
        </w:rPr>
      </w:pPr>
      <w:r w:rsidRPr="00904FA9">
        <w:rPr>
          <w:rFonts w:ascii="Times New Roman" w:hAnsi="Times New Roman" w:cs="Times New Roman"/>
          <w:sz w:val="24"/>
        </w:rPr>
        <w:t>Prosser, William L. "</w:t>
      </w:r>
      <w:proofErr w:type="spellStart"/>
      <w:r w:rsidRPr="00904FA9">
        <w:rPr>
          <w:rFonts w:ascii="Times New Roman" w:hAnsi="Times New Roman" w:cs="Times New Roman"/>
          <w:sz w:val="24"/>
        </w:rPr>
        <w:t>Palsgraf</w:t>
      </w:r>
      <w:proofErr w:type="spellEnd"/>
      <w:r w:rsidRPr="00904FA9">
        <w:rPr>
          <w:rFonts w:ascii="Times New Roman" w:hAnsi="Times New Roman" w:cs="Times New Roman"/>
          <w:sz w:val="24"/>
        </w:rPr>
        <w:t xml:space="preserve"> Revisited." Michigan Law Review 52.1 (1953): 1-32.</w:t>
      </w:r>
    </w:p>
    <w:p w:rsidR="000B533A" w:rsidRDefault="000B533A" w:rsidP="000B533A">
      <w:pPr>
        <w:spacing w:line="480" w:lineRule="auto"/>
        <w:ind w:left="720" w:hanging="720"/>
        <w:jc w:val="both"/>
        <w:rPr>
          <w:rFonts w:ascii="Times New Roman" w:hAnsi="Times New Roman" w:cs="Times New Roman"/>
          <w:sz w:val="24"/>
        </w:rPr>
      </w:pPr>
      <w:proofErr w:type="spellStart"/>
      <w:r w:rsidRPr="00904FA9">
        <w:rPr>
          <w:rFonts w:ascii="Times New Roman" w:hAnsi="Times New Roman" w:cs="Times New Roman"/>
          <w:sz w:val="24"/>
        </w:rPr>
        <w:t>Thode</w:t>
      </w:r>
      <w:proofErr w:type="spellEnd"/>
      <w:r w:rsidRPr="00904FA9">
        <w:rPr>
          <w:rFonts w:ascii="Times New Roman" w:hAnsi="Times New Roman" w:cs="Times New Roman"/>
          <w:sz w:val="24"/>
        </w:rPr>
        <w:t>, E. Wayne. "Tort Analysis: Duty-Risk v. Proximate Cause and the Rational Allocation of Functions Between Judge and Jury." Utah L. Rev. (1977): 1.</w:t>
      </w:r>
    </w:p>
    <w:sectPr w:rsidR="000B53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532B" w:rsidRDefault="0068532B" w:rsidP="00E818AE">
      <w:pPr>
        <w:spacing w:after="0" w:line="240" w:lineRule="auto"/>
      </w:pPr>
      <w:r>
        <w:separator/>
      </w:r>
    </w:p>
  </w:endnote>
  <w:endnote w:type="continuationSeparator" w:id="0">
    <w:p w:rsidR="0068532B" w:rsidRDefault="0068532B" w:rsidP="00E81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532B" w:rsidRDefault="0068532B" w:rsidP="00E818AE">
      <w:pPr>
        <w:spacing w:after="0" w:line="240" w:lineRule="auto"/>
      </w:pPr>
      <w:r>
        <w:separator/>
      </w:r>
    </w:p>
  </w:footnote>
  <w:footnote w:type="continuationSeparator" w:id="0">
    <w:p w:rsidR="0068532B" w:rsidRDefault="0068532B" w:rsidP="00E81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5315503"/>
      <w:docPartObj>
        <w:docPartGallery w:val="Page Numbers (Top of Page)"/>
        <w:docPartUnique/>
      </w:docPartObj>
    </w:sdtPr>
    <w:sdtEndPr>
      <w:rPr>
        <w:noProof/>
      </w:rPr>
    </w:sdtEndPr>
    <w:sdtContent>
      <w:p w:rsidR="00E818AE" w:rsidRDefault="00E818AE">
        <w:pPr>
          <w:pStyle w:val="Header"/>
          <w:jc w:val="right"/>
        </w:pPr>
        <w:r>
          <w:t xml:space="preserve">SURNAME </w:t>
        </w:r>
        <w:r>
          <w:fldChar w:fldCharType="begin"/>
        </w:r>
        <w:r>
          <w:instrText xml:space="preserve"> PAGE   \* MERGEFORMAT </w:instrText>
        </w:r>
        <w:r>
          <w:fldChar w:fldCharType="separate"/>
        </w:r>
        <w:r w:rsidR="000B533A">
          <w:rPr>
            <w:noProof/>
          </w:rPr>
          <w:t>6</w:t>
        </w:r>
        <w:r>
          <w:rPr>
            <w:noProof/>
          </w:rPr>
          <w:fldChar w:fldCharType="end"/>
        </w:r>
      </w:p>
    </w:sdtContent>
  </w:sdt>
  <w:p w:rsidR="00E818AE" w:rsidRDefault="00E818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4B4ECE"/>
    <w:multiLevelType w:val="hybridMultilevel"/>
    <w:tmpl w:val="CCA42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A74"/>
    <w:rsid w:val="000B533A"/>
    <w:rsid w:val="00165B90"/>
    <w:rsid w:val="00217FDE"/>
    <w:rsid w:val="002E4775"/>
    <w:rsid w:val="00376D2B"/>
    <w:rsid w:val="003C04D8"/>
    <w:rsid w:val="00434944"/>
    <w:rsid w:val="0056686B"/>
    <w:rsid w:val="00586A74"/>
    <w:rsid w:val="005E3713"/>
    <w:rsid w:val="006165A3"/>
    <w:rsid w:val="0066122B"/>
    <w:rsid w:val="0068532B"/>
    <w:rsid w:val="00800654"/>
    <w:rsid w:val="008C2546"/>
    <w:rsid w:val="008F7217"/>
    <w:rsid w:val="00904FA9"/>
    <w:rsid w:val="0093446E"/>
    <w:rsid w:val="009848E1"/>
    <w:rsid w:val="00AD6E93"/>
    <w:rsid w:val="00AE4F0F"/>
    <w:rsid w:val="00B83AF1"/>
    <w:rsid w:val="00C55F65"/>
    <w:rsid w:val="00DB23B2"/>
    <w:rsid w:val="00E11E28"/>
    <w:rsid w:val="00E1267D"/>
    <w:rsid w:val="00E36581"/>
    <w:rsid w:val="00E81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71E49"/>
  <w15:chartTrackingRefBased/>
  <w15:docId w15:val="{7DD1215A-CBB6-47F7-83E8-45880D29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E93"/>
    <w:pPr>
      <w:ind w:left="720"/>
      <w:contextualSpacing/>
    </w:pPr>
  </w:style>
  <w:style w:type="paragraph" w:styleId="Header">
    <w:name w:val="header"/>
    <w:basedOn w:val="Normal"/>
    <w:link w:val="HeaderChar"/>
    <w:uiPriority w:val="99"/>
    <w:unhideWhenUsed/>
    <w:rsid w:val="00E81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8AE"/>
  </w:style>
  <w:style w:type="paragraph" w:styleId="Footer">
    <w:name w:val="footer"/>
    <w:basedOn w:val="Normal"/>
    <w:link w:val="FooterChar"/>
    <w:uiPriority w:val="99"/>
    <w:unhideWhenUsed/>
    <w:rsid w:val="00E81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6</Pages>
  <Words>1139</Words>
  <Characters>6497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2017-11-19T22:32:00Z</dcterms:created>
  <dcterms:modified xsi:type="dcterms:W3CDTF">2017-11-20T02:23:00Z</dcterms:modified>
</cp:coreProperties>
</file>