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A2609" w14:textId="77777777" w:rsidR="00EF41F2" w:rsidRDefault="00EF41F2" w:rsidP="00EF41F2">
      <w:pPr>
        <w:spacing w:line="480" w:lineRule="auto"/>
        <w:jc w:val="center"/>
      </w:pPr>
    </w:p>
    <w:p w14:paraId="34DE301B" w14:textId="77777777" w:rsidR="00EF41F2" w:rsidRDefault="00EF41F2" w:rsidP="00EF41F2">
      <w:pPr>
        <w:spacing w:line="480" w:lineRule="auto"/>
        <w:jc w:val="center"/>
      </w:pPr>
    </w:p>
    <w:p w14:paraId="4C3C2938" w14:textId="77777777" w:rsidR="00EF41F2" w:rsidRDefault="00EF41F2" w:rsidP="00EF41F2">
      <w:pPr>
        <w:spacing w:line="480" w:lineRule="auto"/>
        <w:jc w:val="center"/>
      </w:pPr>
    </w:p>
    <w:p w14:paraId="782CB4F7" w14:textId="77777777" w:rsidR="00EF41F2" w:rsidRDefault="00EF41F2" w:rsidP="00EF41F2">
      <w:pPr>
        <w:spacing w:line="480" w:lineRule="auto"/>
        <w:jc w:val="center"/>
      </w:pPr>
    </w:p>
    <w:p w14:paraId="0D7833DB" w14:textId="77777777" w:rsidR="00EF41F2" w:rsidRDefault="00EF41F2" w:rsidP="00EF41F2">
      <w:pPr>
        <w:spacing w:line="480" w:lineRule="auto"/>
        <w:jc w:val="center"/>
      </w:pPr>
    </w:p>
    <w:p w14:paraId="4EBC8B5D" w14:textId="662751C1" w:rsidR="00EF41F2" w:rsidRDefault="009C7E6D" w:rsidP="00EF41F2">
      <w:pPr>
        <w:spacing w:line="480" w:lineRule="auto"/>
        <w:jc w:val="center"/>
      </w:pPr>
      <w:r>
        <w:t>Ethical dilemma and Transgender orientation.</w:t>
      </w:r>
    </w:p>
    <w:p w14:paraId="79886C6A" w14:textId="0E2C109C" w:rsidR="00EF41F2" w:rsidRDefault="009C7E6D" w:rsidP="00EF41F2">
      <w:pPr>
        <w:spacing w:line="480" w:lineRule="auto"/>
        <w:jc w:val="center"/>
      </w:pPr>
      <w:r>
        <w:t>Student Name.</w:t>
      </w:r>
    </w:p>
    <w:p w14:paraId="4B85DDC7" w14:textId="62F30D00" w:rsidR="00EF41F2" w:rsidRDefault="009C7E6D" w:rsidP="00EF41F2">
      <w:pPr>
        <w:spacing w:line="480" w:lineRule="auto"/>
        <w:jc w:val="center"/>
      </w:pPr>
      <w:r>
        <w:t>Institution Affiliation</w:t>
      </w:r>
    </w:p>
    <w:p w14:paraId="2146B2E9" w14:textId="34BFAD35" w:rsidR="00EF41F2" w:rsidRDefault="009C7E6D" w:rsidP="00EF41F2">
      <w:pPr>
        <w:spacing w:line="480" w:lineRule="auto"/>
        <w:jc w:val="center"/>
      </w:pPr>
      <w:r>
        <w:t>Date</w:t>
      </w:r>
    </w:p>
    <w:p w14:paraId="276A515A" w14:textId="0600F507" w:rsidR="00EF41F2" w:rsidRDefault="009C7E6D">
      <w:r>
        <w:br w:type="page"/>
      </w:r>
    </w:p>
    <w:p w14:paraId="0DD18D62" w14:textId="2F82F9F9" w:rsidR="005D112C" w:rsidRPr="00AB5A89" w:rsidRDefault="009C7E6D" w:rsidP="00925942">
      <w:pPr>
        <w:spacing w:line="480" w:lineRule="auto"/>
        <w:ind w:firstLine="720"/>
        <w:jc w:val="both"/>
        <w:rPr>
          <w:b/>
          <w:bCs/>
        </w:rPr>
      </w:pPr>
      <w:r w:rsidRPr="00AB5A89">
        <w:rPr>
          <w:b/>
          <w:bCs/>
        </w:rPr>
        <w:lastRenderedPageBreak/>
        <w:t>Introduction.</w:t>
      </w:r>
    </w:p>
    <w:p w14:paraId="5AF4FF27" w14:textId="300411ED" w:rsidR="00C17920" w:rsidRDefault="009C7E6D" w:rsidP="00925942">
      <w:pPr>
        <w:spacing w:line="480" w:lineRule="auto"/>
        <w:ind w:firstLine="720"/>
        <w:jc w:val="both"/>
      </w:pPr>
      <w:r>
        <w:t>Sexual orientation is defined as the identity of a person in relation to gender, or what gender they are attracted to. That is, it can also describe the homosexuality or heterosexuality of a person by describing a pattern of both sexual and romantic attraction</w:t>
      </w:r>
      <w:r w:rsidR="00896D8A">
        <w:t xml:space="preserve"> (Matera et al, 2019)</w:t>
      </w:r>
      <w:r>
        <w:t xml:space="preserve">. </w:t>
      </w:r>
      <w:r w:rsidR="003A3477">
        <w:t xml:space="preserve">Therefore, some people feel that the sexuality they were born with does not fit their personalities, gender identity, or sexual attraction. Transgender people express themselves through their mannerisms, behavior, and dressing codes. Some of them take surgeries to change their bodies so that they represent </w:t>
      </w:r>
      <w:r w:rsidR="000D2754">
        <w:t>what they are comfortable with. However, most people are set to the traditional understanding of gender as male and female</w:t>
      </w:r>
      <w:r w:rsidR="00560AB3">
        <w:t>, thus presenting ethical dilemmas to transgender people and the general community. Therefore, this paper focuses on analyzing ethical dilemmas involved in transgender previous sex orientation regret.</w:t>
      </w:r>
    </w:p>
    <w:p w14:paraId="12E401C7" w14:textId="4F180451" w:rsidR="00560AB3" w:rsidRPr="00AB5A89" w:rsidRDefault="009C7E6D" w:rsidP="00925942">
      <w:pPr>
        <w:spacing w:line="480" w:lineRule="auto"/>
        <w:ind w:firstLine="720"/>
        <w:jc w:val="both"/>
        <w:rPr>
          <w:b/>
          <w:bCs/>
        </w:rPr>
      </w:pPr>
      <w:r w:rsidRPr="00AB5A89">
        <w:rPr>
          <w:b/>
          <w:bCs/>
        </w:rPr>
        <w:t>Ethical dilemma</w:t>
      </w:r>
      <w:r w:rsidR="00E26B2B" w:rsidRPr="00AB5A89">
        <w:rPr>
          <w:b/>
          <w:bCs/>
        </w:rPr>
        <w:t xml:space="preserve"> and nursing.</w:t>
      </w:r>
    </w:p>
    <w:p w14:paraId="0D819A6B" w14:textId="55E68C99" w:rsidR="00B34829" w:rsidRDefault="009C7E6D" w:rsidP="00925942">
      <w:pPr>
        <w:spacing w:line="480" w:lineRule="auto"/>
        <w:ind w:firstLine="720"/>
        <w:jc w:val="both"/>
        <w:rPr>
          <w:rFonts w:cs="Times New Roman"/>
          <w:szCs w:val="24"/>
        </w:rPr>
      </w:pPr>
      <w:r>
        <w:t>An ethical dilemma refers to a situation where a choice has to be made regarding two courses of action that seem ethically correct</w:t>
      </w:r>
      <w:r w:rsidR="00EC7C14">
        <w:t xml:space="preserve"> at the moment. </w:t>
      </w:r>
      <w:r w:rsidR="0025117A">
        <w:t xml:space="preserve">Medical practitioners are always faced with situations presenting ethical dilemmas, which may present a lot of challenges to their careers and institutions in general. </w:t>
      </w:r>
      <w:r>
        <w:t>According to (</w:t>
      </w:r>
      <w:r w:rsidRPr="000E0A23">
        <w:rPr>
          <w:rFonts w:cs="Times New Roman"/>
          <w:szCs w:val="24"/>
        </w:rPr>
        <w:t>Juretschke et al, 2017</w:t>
      </w:r>
      <w:r>
        <w:t xml:space="preserve">), </w:t>
      </w:r>
      <w:r w:rsidRPr="000E0A23">
        <w:rPr>
          <w:rFonts w:cs="Times New Roman"/>
          <w:szCs w:val="24"/>
        </w:rPr>
        <w:t>Duty, foreseeability, breach of duty, injury, damages, and proximate cause are the major problems that may lead to</w:t>
      </w:r>
      <w:r>
        <w:rPr>
          <w:rFonts w:cs="Times New Roman"/>
          <w:szCs w:val="24"/>
        </w:rPr>
        <w:t xml:space="preserve"> ethical dilemma issues and malpractice suits. </w:t>
      </w:r>
      <w:r w:rsidR="0085317A">
        <w:rPr>
          <w:rFonts w:cs="Times New Roman"/>
          <w:szCs w:val="24"/>
        </w:rPr>
        <w:t>For example, a nurse may be forced with an ethical dilemma when faced with a situation where she has to decide whether to keep the confidentiality of the patient or give them information that may save the patient's life to the doctor.</w:t>
      </w:r>
      <w:r w:rsidR="005367A3">
        <w:rPr>
          <w:rFonts w:cs="Times New Roman"/>
          <w:szCs w:val="24"/>
        </w:rPr>
        <w:t xml:space="preserve"> Therefore, ethical dilemmas in nursing could lead to a decline in the quality of care, moral distress, and problematic clinical relations amongst colleagues. </w:t>
      </w:r>
      <w:r w:rsidR="00BA22BD">
        <w:rPr>
          <w:rFonts w:cs="Times New Roman"/>
          <w:szCs w:val="24"/>
        </w:rPr>
        <w:t xml:space="preserve">That is, the quality of care is dependent on how medical practitioners present themselves and how they relate with their patients. </w:t>
      </w:r>
      <w:r w:rsidR="00DB557C">
        <w:rPr>
          <w:rFonts w:cs="Times New Roman"/>
          <w:szCs w:val="24"/>
        </w:rPr>
        <w:t xml:space="preserve">Based on research by </w:t>
      </w:r>
      <w:r w:rsidR="00DB557C">
        <w:rPr>
          <w:rFonts w:cs="Times New Roman"/>
          <w:szCs w:val="24"/>
        </w:rPr>
        <w:lastRenderedPageBreak/>
        <w:t xml:space="preserve">(Geiger, 2020), </w:t>
      </w:r>
      <w:r w:rsidR="005403B1">
        <w:rPr>
          <w:rFonts w:cs="Times New Roman"/>
          <w:szCs w:val="24"/>
        </w:rPr>
        <w:t>ethics within an institution are important since healthcare workers must recognize dilemmas, make good judgments, and decisions based on their values, and the laws that govern nursing.</w:t>
      </w:r>
    </w:p>
    <w:p w14:paraId="08ACAFA3" w14:textId="00CA2741" w:rsidR="00196D8E" w:rsidRPr="00AB5A89" w:rsidRDefault="009C7E6D" w:rsidP="00925942">
      <w:pPr>
        <w:spacing w:line="480" w:lineRule="auto"/>
        <w:ind w:firstLine="720"/>
        <w:jc w:val="both"/>
        <w:rPr>
          <w:rFonts w:cs="Times New Roman"/>
          <w:b/>
          <w:bCs/>
          <w:szCs w:val="24"/>
        </w:rPr>
      </w:pPr>
      <w:r w:rsidRPr="00AB5A89">
        <w:rPr>
          <w:rFonts w:cs="Times New Roman"/>
          <w:b/>
          <w:bCs/>
          <w:szCs w:val="24"/>
        </w:rPr>
        <w:t>Major ethical issues in Transgender</w:t>
      </w:r>
      <w:r w:rsidR="00EC0481" w:rsidRPr="00AB5A89">
        <w:rPr>
          <w:rFonts w:cs="Times New Roman"/>
          <w:b/>
          <w:bCs/>
          <w:szCs w:val="24"/>
        </w:rPr>
        <w:t xml:space="preserve"> Medical care.</w:t>
      </w:r>
    </w:p>
    <w:p w14:paraId="5A52E623" w14:textId="418D5BB7" w:rsidR="00196D8E" w:rsidRDefault="009C7E6D" w:rsidP="00925942">
      <w:pPr>
        <w:spacing w:line="480" w:lineRule="auto"/>
        <w:ind w:firstLine="720"/>
        <w:jc w:val="both"/>
        <w:rPr>
          <w:rFonts w:cs="Times New Roman"/>
          <w:szCs w:val="24"/>
        </w:rPr>
      </w:pPr>
      <w:r>
        <w:rPr>
          <w:rFonts w:cs="Times New Roman"/>
          <w:szCs w:val="24"/>
        </w:rPr>
        <w:t xml:space="preserve">Since most people only recognize males and females as the primary genders, transgender </w:t>
      </w:r>
      <w:r w:rsidR="00DA5D1C">
        <w:rPr>
          <w:rFonts w:cs="Times New Roman"/>
          <w:szCs w:val="24"/>
        </w:rPr>
        <w:t>medical teams are faced with different kinds of ethical and moral dilemmas due to the increased public attention on transgender cases. First, transgender treatment may have a lot of effects on the patient. However, it is difficult for the medical practitioner to decide whether</w:t>
      </w:r>
      <w:r w:rsidR="00802D30">
        <w:rPr>
          <w:rFonts w:cs="Times New Roman"/>
          <w:szCs w:val="24"/>
        </w:rPr>
        <w:t xml:space="preserve"> to continue with the treatment or not after knowing whether a patient can deal with the transgender treatment or not. </w:t>
      </w:r>
      <w:r w:rsidR="006C226F">
        <w:rPr>
          <w:rFonts w:cs="Times New Roman"/>
          <w:szCs w:val="24"/>
        </w:rPr>
        <w:t xml:space="preserve">Furthermore, a doctor can decide whether to go on with the treatment or not after determining that the patient may die in the process due to bodily effects. </w:t>
      </w:r>
      <w:r w:rsidR="001D648C">
        <w:rPr>
          <w:rFonts w:cs="Times New Roman"/>
          <w:szCs w:val="24"/>
        </w:rPr>
        <w:t xml:space="preserve">Furthermore, </w:t>
      </w:r>
      <w:r w:rsidR="0089084A">
        <w:rPr>
          <w:rFonts w:cs="Times New Roman"/>
          <w:szCs w:val="24"/>
        </w:rPr>
        <w:t>a doctor may determine that a transgender-affirming medical treatment</w:t>
      </w:r>
      <w:r w:rsidR="003237B2">
        <w:rPr>
          <w:rFonts w:cs="Times New Roman"/>
          <w:szCs w:val="24"/>
        </w:rPr>
        <w:t xml:space="preserve"> is not permissible by the medical institution but may still decide to go along with the process (</w:t>
      </w:r>
      <w:proofErr w:type="spellStart"/>
      <w:r w:rsidR="003237B2">
        <w:rPr>
          <w:rFonts w:cs="Times New Roman"/>
          <w:szCs w:val="24"/>
        </w:rPr>
        <w:t>Gerritse</w:t>
      </w:r>
      <w:proofErr w:type="spellEnd"/>
      <w:r w:rsidR="003237B2">
        <w:rPr>
          <w:rFonts w:cs="Times New Roman"/>
          <w:szCs w:val="24"/>
        </w:rPr>
        <w:t xml:space="preserve"> et al, 2018).</w:t>
      </w:r>
    </w:p>
    <w:p w14:paraId="6704419C" w14:textId="3035A248" w:rsidR="00BC3E3C" w:rsidRDefault="00BC3E3C" w:rsidP="00925942">
      <w:pPr>
        <w:spacing w:line="480" w:lineRule="auto"/>
        <w:ind w:firstLine="720"/>
        <w:jc w:val="both"/>
        <w:rPr>
          <w:rFonts w:cs="Times New Roman"/>
          <w:szCs w:val="24"/>
        </w:rPr>
      </w:pPr>
      <w:r>
        <w:rPr>
          <w:rFonts w:cs="Times New Roman"/>
          <w:szCs w:val="24"/>
        </w:rPr>
        <w:t>An article by (</w:t>
      </w:r>
      <w:r w:rsidR="00904D92">
        <w:rPr>
          <w:rFonts w:cs="Times New Roman"/>
          <w:szCs w:val="24"/>
        </w:rPr>
        <w:t>Bustos</w:t>
      </w:r>
      <w:r>
        <w:rPr>
          <w:rFonts w:cs="Times New Roman"/>
          <w:szCs w:val="24"/>
        </w:rPr>
        <w:t xml:space="preserve"> et al, 2021) argues that there exists an unknown percentage</w:t>
      </w:r>
      <w:r w:rsidR="00587953">
        <w:rPr>
          <w:rFonts w:cs="Times New Roman"/>
          <w:szCs w:val="24"/>
        </w:rPr>
        <w:t xml:space="preserve"> </w:t>
      </w:r>
      <w:r>
        <w:rPr>
          <w:rFonts w:cs="Times New Roman"/>
          <w:szCs w:val="24"/>
        </w:rPr>
        <w:t xml:space="preserve">of </w:t>
      </w:r>
      <w:r w:rsidR="00587953">
        <w:rPr>
          <w:rFonts w:cs="Times New Roman"/>
          <w:szCs w:val="24"/>
        </w:rPr>
        <w:t>individuals</w:t>
      </w:r>
      <w:r>
        <w:rPr>
          <w:rFonts w:cs="Times New Roman"/>
          <w:szCs w:val="24"/>
        </w:rPr>
        <w:t xml:space="preserve"> that undergo gender-affirmation surgeries and end up regretting it. </w:t>
      </w:r>
      <w:r w:rsidR="00587953">
        <w:rPr>
          <w:rFonts w:cs="Times New Roman"/>
          <w:szCs w:val="24"/>
        </w:rPr>
        <w:t xml:space="preserve">These regrets lead to emergent of questions regarding the appropriateness those procedures in certain patients. That is, doctors may end up facing ethical dilemmas on whether to push on with the surgery or not while knowing that a patient is likely to experience regret after the surgery. </w:t>
      </w:r>
    </w:p>
    <w:p w14:paraId="06992016" w14:textId="4325CA4A" w:rsidR="006970FF" w:rsidRPr="00AB5A89" w:rsidRDefault="009C7E6D" w:rsidP="00925942">
      <w:pPr>
        <w:spacing w:line="480" w:lineRule="auto"/>
        <w:ind w:firstLine="720"/>
        <w:jc w:val="both"/>
        <w:rPr>
          <w:rFonts w:cs="Times New Roman"/>
          <w:b/>
          <w:bCs/>
          <w:szCs w:val="24"/>
        </w:rPr>
      </w:pPr>
      <w:r w:rsidRPr="00AB5A89">
        <w:rPr>
          <w:rFonts w:cs="Times New Roman"/>
          <w:b/>
          <w:bCs/>
          <w:szCs w:val="24"/>
        </w:rPr>
        <w:t>Bioethical principles and how they relate to ethics.</w:t>
      </w:r>
    </w:p>
    <w:p w14:paraId="1BCE4C0E" w14:textId="75AE5BD5" w:rsidR="00283E0F" w:rsidRDefault="009C7E6D" w:rsidP="00925942">
      <w:pPr>
        <w:spacing w:line="480" w:lineRule="auto"/>
        <w:ind w:firstLine="720"/>
        <w:jc w:val="both"/>
        <w:rPr>
          <w:szCs w:val="24"/>
        </w:rPr>
      </w:pPr>
      <w:r w:rsidRPr="005D07DB">
        <w:rPr>
          <w:szCs w:val="24"/>
        </w:rPr>
        <w:t xml:space="preserve">According to (Witterberg et al, 2018), patient care goals are an important component in ensuring effective nursing care. The nursing principle of ethics involves autonomy, beneficence, nonmaleficence, and justice. Autonomy ensures practitioners can make self-informed choices </w:t>
      </w:r>
      <w:r w:rsidRPr="005D07DB">
        <w:rPr>
          <w:szCs w:val="24"/>
        </w:rPr>
        <w:lastRenderedPageBreak/>
        <w:t>regarding the patients, beneficence ensures that patient's needs are put first, Non-maleficence ensures the safety of the patient is maintained and justice ensures that nurses act with fairness and impartiality. However, there are usually inadequate and inefficient structures, inadequate training or resources to facilitate proper nursing goals</w:t>
      </w:r>
      <w:r>
        <w:rPr>
          <w:szCs w:val="24"/>
        </w:rPr>
        <w:t xml:space="preserve">, thus leading to ethical issues. </w:t>
      </w:r>
      <w:r w:rsidR="00DD798E">
        <w:rPr>
          <w:szCs w:val="24"/>
        </w:rPr>
        <w:t xml:space="preserve">Moreover, bioethicists </w:t>
      </w:r>
      <w:r w:rsidR="00F372E7">
        <w:rPr>
          <w:szCs w:val="24"/>
        </w:rPr>
        <w:t>us</w:t>
      </w:r>
      <w:r w:rsidR="00DD798E">
        <w:rPr>
          <w:szCs w:val="24"/>
        </w:rPr>
        <w:t xml:space="preserve">e bioethical principles to evaluate the merits, and difficulties of medical procedures and how medical practitioners should behave to avoid ethical issues. </w:t>
      </w:r>
    </w:p>
    <w:p w14:paraId="3D05EE98" w14:textId="1C94C393" w:rsidR="00C7168E" w:rsidRPr="00AB5A89" w:rsidRDefault="009C7E6D" w:rsidP="00925942">
      <w:pPr>
        <w:spacing w:line="480" w:lineRule="auto"/>
        <w:ind w:firstLine="720"/>
        <w:jc w:val="both"/>
        <w:rPr>
          <w:b/>
          <w:bCs/>
          <w:szCs w:val="24"/>
        </w:rPr>
      </w:pPr>
      <w:r w:rsidRPr="00AB5A89">
        <w:rPr>
          <w:b/>
          <w:bCs/>
          <w:szCs w:val="24"/>
        </w:rPr>
        <w:t xml:space="preserve">Morality regarding transgender cases. </w:t>
      </w:r>
    </w:p>
    <w:p w14:paraId="5E16C6E6" w14:textId="4424C328" w:rsidR="001C3A4B" w:rsidRDefault="009C7E6D" w:rsidP="00925942">
      <w:pPr>
        <w:spacing w:line="480" w:lineRule="auto"/>
        <w:ind w:firstLine="720"/>
        <w:jc w:val="both"/>
      </w:pPr>
      <w:r>
        <w:rPr>
          <w:rFonts w:cs="Times New Roman"/>
          <w:szCs w:val="24"/>
        </w:rPr>
        <w:t xml:space="preserve">The comprehension of morality is a complex psychological matter. </w:t>
      </w:r>
      <w:r>
        <w:t>Based on research by (Gilead et al), social cognition requires a person to adopt either both concrete and abstract thinking mindsets which alters how people perceive a different situation. For instance, teenagers and adults are always in conflict between which mindsets present aspects of morality</w:t>
      </w:r>
      <w:r w:rsidR="000C41C0">
        <w:t xml:space="preserve">. Therefore, there are a lot of cultural challenges regarding </w:t>
      </w:r>
      <w:r w:rsidR="002E0DF0">
        <w:t>transgender. For instance, people from religious communities will consider transgender se</w:t>
      </w:r>
      <w:r w:rsidR="00FC7750">
        <w:t>x</w:t>
      </w:r>
      <w:r w:rsidR="002E0DF0">
        <w:t xml:space="preserve">ual orientation wrong before their spiritual being. </w:t>
      </w:r>
      <w:r w:rsidR="00FE41B7">
        <w:t>Thus, based on research by (Haider et al, 2019), religion is being utilized to discriminate against transgender people or spread lies against them. Our morality is questioned when we observe that transgender</w:t>
      </w:r>
      <w:r w:rsidR="00F80C2E">
        <w:t xml:space="preserve"> </w:t>
      </w:r>
      <w:r w:rsidR="00FE41B7">
        <w:t>youth facing harassment</w:t>
      </w:r>
      <w:r w:rsidR="00F80C2E">
        <w:t xml:space="preserve"> and denial of rights. </w:t>
      </w:r>
      <w:r w:rsidR="00B512DB">
        <w:t>Another article by (</w:t>
      </w:r>
      <w:r w:rsidR="00904D92">
        <w:t>Bustos</w:t>
      </w:r>
      <w:r w:rsidR="00B512DB">
        <w:t xml:space="preserve"> et al, 2021) argues morality regarding</w:t>
      </w:r>
      <w:r w:rsidR="00977416">
        <w:t xml:space="preserve"> transgender surgeries should be a personal decisions and regret assumed by others should not exist. </w:t>
      </w:r>
    </w:p>
    <w:p w14:paraId="1621F086" w14:textId="5489A22E" w:rsidR="00DE5C94" w:rsidRPr="00AB5A89" w:rsidRDefault="009C7E6D" w:rsidP="00925942">
      <w:pPr>
        <w:spacing w:line="480" w:lineRule="auto"/>
        <w:ind w:firstLine="720"/>
        <w:jc w:val="both"/>
        <w:rPr>
          <w:b/>
          <w:bCs/>
        </w:rPr>
      </w:pPr>
      <w:r w:rsidRPr="00AB5A89">
        <w:rPr>
          <w:b/>
          <w:bCs/>
        </w:rPr>
        <w:t xml:space="preserve">Conclusion. </w:t>
      </w:r>
    </w:p>
    <w:p w14:paraId="3F1FA570" w14:textId="2F7F37EB" w:rsidR="00303E07" w:rsidRDefault="009C7E6D" w:rsidP="00925942">
      <w:pPr>
        <w:spacing w:line="480" w:lineRule="auto"/>
        <w:ind w:firstLine="720"/>
        <w:jc w:val="both"/>
      </w:pPr>
      <w:r>
        <w:t xml:space="preserve">In conclusion, sexual orientation issues bring a lot of cultural issues and challenges. Moreover, nurses and other physician practitioners are always faced with ethical issues and dilemmas regarding transgender treatment. Moreover, maintaining the confidentiality of </w:t>
      </w:r>
      <w:r>
        <w:lastRenderedPageBreak/>
        <w:t xml:space="preserve">information provided during </w:t>
      </w:r>
      <w:r w:rsidR="0068084B">
        <w:t>these treatments</w:t>
      </w:r>
      <w:r>
        <w:t xml:space="preserve"> may pose ethical issues. Therefore, failure to respect the ethical code of conduct may lead to poor quality wo</w:t>
      </w:r>
      <w:r w:rsidR="0068084B">
        <w:t>r</w:t>
      </w:r>
      <w:r>
        <w:t xml:space="preserve">k that may lead to the possibility of hospital defamation, and possible lawsuits to all the parties involved. </w:t>
      </w:r>
    </w:p>
    <w:p w14:paraId="5687B6DE" w14:textId="5BDF18B0" w:rsidR="00501FDF" w:rsidRDefault="00303E07" w:rsidP="00303E07">
      <w:r>
        <w:br w:type="page"/>
      </w:r>
    </w:p>
    <w:p w14:paraId="11C67509" w14:textId="18C2F5AD" w:rsidR="0068084B" w:rsidRPr="00303E07" w:rsidRDefault="009C7E6D" w:rsidP="00303E07">
      <w:pPr>
        <w:jc w:val="center"/>
        <w:rPr>
          <w:b/>
          <w:bCs/>
        </w:rPr>
      </w:pPr>
      <w:r w:rsidRPr="00303E07">
        <w:rPr>
          <w:b/>
          <w:bCs/>
        </w:rPr>
        <w:lastRenderedPageBreak/>
        <w:t>References.</w:t>
      </w:r>
    </w:p>
    <w:p w14:paraId="7AFD99A8" w14:textId="7BF6F61A" w:rsidR="00CF53E8" w:rsidRPr="00303E07" w:rsidRDefault="00CF53E8" w:rsidP="00447979">
      <w:pPr>
        <w:spacing w:line="480" w:lineRule="auto"/>
        <w:ind w:left="720" w:hanging="720"/>
        <w:jc w:val="both"/>
        <w:rPr>
          <w:rFonts w:cs="Times New Roman"/>
          <w:color w:val="222222"/>
          <w:szCs w:val="24"/>
          <w:shd w:val="clear" w:color="auto" w:fill="FFFFFF"/>
        </w:rPr>
      </w:pPr>
      <w:r w:rsidRPr="00303E07">
        <w:rPr>
          <w:rFonts w:cs="Times New Roman"/>
          <w:color w:val="222222"/>
          <w:szCs w:val="24"/>
          <w:shd w:val="clear" w:color="auto" w:fill="FFFFFF"/>
        </w:rPr>
        <w:t xml:space="preserve">Bustos, V. P., Bustos, S. S., </w:t>
      </w:r>
      <w:proofErr w:type="spellStart"/>
      <w:r w:rsidRPr="00303E07">
        <w:rPr>
          <w:rFonts w:cs="Times New Roman"/>
          <w:color w:val="222222"/>
          <w:szCs w:val="24"/>
          <w:shd w:val="clear" w:color="auto" w:fill="FFFFFF"/>
        </w:rPr>
        <w:t>Escandón</w:t>
      </w:r>
      <w:proofErr w:type="spellEnd"/>
      <w:r w:rsidRPr="00303E07">
        <w:rPr>
          <w:rFonts w:cs="Times New Roman"/>
          <w:color w:val="222222"/>
          <w:szCs w:val="24"/>
          <w:shd w:val="clear" w:color="auto" w:fill="FFFFFF"/>
        </w:rPr>
        <w:t xml:space="preserve">, J. M., Mascaro, A., Del Corral, G., </w:t>
      </w:r>
      <w:proofErr w:type="spellStart"/>
      <w:r w:rsidRPr="00303E07">
        <w:rPr>
          <w:rFonts w:cs="Times New Roman"/>
          <w:color w:val="222222"/>
          <w:szCs w:val="24"/>
          <w:shd w:val="clear" w:color="auto" w:fill="FFFFFF"/>
        </w:rPr>
        <w:t>Gaxiola</w:t>
      </w:r>
      <w:proofErr w:type="spellEnd"/>
      <w:r w:rsidRPr="00303E07">
        <w:rPr>
          <w:rFonts w:cs="Times New Roman"/>
          <w:color w:val="222222"/>
          <w:szCs w:val="24"/>
          <w:shd w:val="clear" w:color="auto" w:fill="FFFFFF"/>
        </w:rPr>
        <w:t xml:space="preserve">-García, M. A., ... &amp; Manrique, O. J. (2021). QS1: Regret After Gender Affirmation Surgery: A Systematic Review </w:t>
      </w:r>
      <w:proofErr w:type="gramStart"/>
      <w:r w:rsidRPr="00303E07">
        <w:rPr>
          <w:rFonts w:cs="Times New Roman"/>
          <w:color w:val="222222"/>
          <w:szCs w:val="24"/>
          <w:shd w:val="clear" w:color="auto" w:fill="FFFFFF"/>
        </w:rPr>
        <w:t>And</w:t>
      </w:r>
      <w:proofErr w:type="gramEnd"/>
      <w:r w:rsidRPr="00303E07">
        <w:rPr>
          <w:rFonts w:cs="Times New Roman"/>
          <w:color w:val="222222"/>
          <w:szCs w:val="24"/>
          <w:shd w:val="clear" w:color="auto" w:fill="FFFFFF"/>
        </w:rPr>
        <w:t xml:space="preserve"> Meta-Analysis Of Prevalence. </w:t>
      </w:r>
      <w:r w:rsidRPr="00303E07">
        <w:rPr>
          <w:rFonts w:cs="Times New Roman"/>
          <w:i/>
          <w:iCs/>
          <w:color w:val="222222"/>
          <w:szCs w:val="24"/>
          <w:shd w:val="clear" w:color="auto" w:fill="FFFFFF"/>
        </w:rPr>
        <w:t>Plastic and Reconstructive Surgery Global Open</w:t>
      </w:r>
      <w:r w:rsidRPr="00303E07">
        <w:rPr>
          <w:rFonts w:cs="Times New Roman"/>
          <w:color w:val="222222"/>
          <w:szCs w:val="24"/>
          <w:shd w:val="clear" w:color="auto" w:fill="FFFFFF"/>
        </w:rPr>
        <w:t>, </w:t>
      </w:r>
      <w:r w:rsidRPr="00303E07">
        <w:rPr>
          <w:rFonts w:cs="Times New Roman"/>
          <w:i/>
          <w:iCs/>
          <w:color w:val="222222"/>
          <w:szCs w:val="24"/>
          <w:shd w:val="clear" w:color="auto" w:fill="FFFFFF"/>
        </w:rPr>
        <w:t>9</w:t>
      </w:r>
      <w:r w:rsidRPr="00303E07">
        <w:rPr>
          <w:rFonts w:cs="Times New Roman"/>
          <w:color w:val="222222"/>
          <w:szCs w:val="24"/>
          <w:shd w:val="clear" w:color="auto" w:fill="FFFFFF"/>
        </w:rPr>
        <w:t>(7 Suppl).</w:t>
      </w:r>
    </w:p>
    <w:p w14:paraId="4C4C4166" w14:textId="2E02665B" w:rsidR="00CF53E8" w:rsidRPr="00447979" w:rsidRDefault="00CF53E8" w:rsidP="00CF53E8">
      <w:pPr>
        <w:spacing w:line="480" w:lineRule="auto"/>
        <w:ind w:left="720" w:hanging="720"/>
        <w:jc w:val="both"/>
        <w:rPr>
          <w:rFonts w:cs="Times New Roman"/>
          <w:color w:val="222222"/>
          <w:szCs w:val="24"/>
          <w:shd w:val="clear" w:color="auto" w:fill="FFFFFF"/>
        </w:rPr>
      </w:pPr>
      <w:proofErr w:type="spellStart"/>
      <w:r w:rsidRPr="00447979">
        <w:rPr>
          <w:rFonts w:cs="Times New Roman"/>
          <w:color w:val="222222"/>
          <w:szCs w:val="24"/>
          <w:shd w:val="clear" w:color="auto" w:fill="FFFFFF"/>
        </w:rPr>
        <w:t>Gerritse</w:t>
      </w:r>
      <w:proofErr w:type="spellEnd"/>
      <w:r w:rsidRPr="00447979">
        <w:rPr>
          <w:rFonts w:cs="Times New Roman"/>
          <w:color w:val="222222"/>
          <w:szCs w:val="24"/>
          <w:shd w:val="clear" w:color="auto" w:fill="FFFFFF"/>
        </w:rPr>
        <w:t xml:space="preserve">, K., Hartman, L., </w:t>
      </w:r>
      <w:proofErr w:type="spellStart"/>
      <w:r w:rsidRPr="00447979">
        <w:rPr>
          <w:rFonts w:cs="Times New Roman"/>
          <w:color w:val="222222"/>
          <w:szCs w:val="24"/>
          <w:shd w:val="clear" w:color="auto" w:fill="FFFFFF"/>
        </w:rPr>
        <w:t>Antonides</w:t>
      </w:r>
      <w:proofErr w:type="spellEnd"/>
      <w:r w:rsidRPr="00447979">
        <w:rPr>
          <w:rFonts w:cs="Times New Roman"/>
          <w:color w:val="222222"/>
          <w:szCs w:val="24"/>
          <w:shd w:val="clear" w:color="auto" w:fill="FFFFFF"/>
        </w:rPr>
        <w:t xml:space="preserve">, M. F., </w:t>
      </w:r>
      <w:proofErr w:type="spellStart"/>
      <w:r w:rsidRPr="00447979">
        <w:rPr>
          <w:rFonts w:cs="Times New Roman"/>
          <w:color w:val="222222"/>
          <w:szCs w:val="24"/>
          <w:shd w:val="clear" w:color="auto" w:fill="FFFFFF"/>
        </w:rPr>
        <w:t>Wensing</w:t>
      </w:r>
      <w:proofErr w:type="spellEnd"/>
      <w:r w:rsidRPr="00447979">
        <w:rPr>
          <w:rFonts w:cs="Times New Roman"/>
          <w:color w:val="222222"/>
          <w:szCs w:val="24"/>
          <w:shd w:val="clear" w:color="auto" w:fill="FFFFFF"/>
        </w:rPr>
        <w:t xml:space="preserve">-Kruger, A., de Vries, A. L., &amp; </w:t>
      </w:r>
      <w:proofErr w:type="spellStart"/>
      <w:r w:rsidRPr="00447979">
        <w:rPr>
          <w:rFonts w:cs="Times New Roman"/>
          <w:color w:val="222222"/>
          <w:szCs w:val="24"/>
          <w:shd w:val="clear" w:color="auto" w:fill="FFFFFF"/>
        </w:rPr>
        <w:t>Molewijk</w:t>
      </w:r>
      <w:proofErr w:type="spellEnd"/>
      <w:r w:rsidRPr="00447979">
        <w:rPr>
          <w:rFonts w:cs="Times New Roman"/>
          <w:color w:val="222222"/>
          <w:szCs w:val="24"/>
          <w:shd w:val="clear" w:color="auto" w:fill="FFFFFF"/>
        </w:rPr>
        <w:t>, B. C. (2018). Moral challenges in transgender care: A thematic analysis based on a focused ethnography. </w:t>
      </w:r>
      <w:r w:rsidRPr="00447979">
        <w:rPr>
          <w:rFonts w:cs="Times New Roman"/>
          <w:i/>
          <w:iCs/>
          <w:color w:val="222222"/>
          <w:szCs w:val="24"/>
          <w:shd w:val="clear" w:color="auto" w:fill="FFFFFF"/>
        </w:rPr>
        <w:t>Archives of Sexual Behavior</w:t>
      </w:r>
      <w:r w:rsidRPr="00447979">
        <w:rPr>
          <w:rFonts w:cs="Times New Roman"/>
          <w:color w:val="222222"/>
          <w:szCs w:val="24"/>
          <w:shd w:val="clear" w:color="auto" w:fill="FFFFFF"/>
        </w:rPr>
        <w:t>, </w:t>
      </w:r>
      <w:r w:rsidRPr="00447979">
        <w:rPr>
          <w:rFonts w:cs="Times New Roman"/>
          <w:i/>
          <w:iCs/>
          <w:color w:val="222222"/>
          <w:szCs w:val="24"/>
          <w:shd w:val="clear" w:color="auto" w:fill="FFFFFF"/>
        </w:rPr>
        <w:t>47</w:t>
      </w:r>
      <w:r w:rsidRPr="00447979">
        <w:rPr>
          <w:rFonts w:cs="Times New Roman"/>
          <w:color w:val="222222"/>
          <w:szCs w:val="24"/>
          <w:shd w:val="clear" w:color="auto" w:fill="FFFFFF"/>
        </w:rPr>
        <w:t>(8), 2319-2333.</w:t>
      </w:r>
    </w:p>
    <w:p w14:paraId="1C7B9588"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Gilead, M., Liberman, N., &amp; Maril, A. (2014). From mind to matter: neural correlates of abstract and concrete mindsets. </w:t>
      </w:r>
      <w:r w:rsidRPr="00447979">
        <w:rPr>
          <w:rFonts w:cs="Times New Roman"/>
          <w:i/>
          <w:iCs/>
          <w:color w:val="222222"/>
          <w:szCs w:val="24"/>
          <w:shd w:val="clear" w:color="auto" w:fill="FFFFFF"/>
        </w:rPr>
        <w:t>Social cognitive and affective neuroscience</w:t>
      </w:r>
      <w:r w:rsidRPr="00447979">
        <w:rPr>
          <w:rFonts w:cs="Times New Roman"/>
          <w:color w:val="222222"/>
          <w:szCs w:val="24"/>
          <w:shd w:val="clear" w:color="auto" w:fill="FFFFFF"/>
        </w:rPr>
        <w:t>, </w:t>
      </w:r>
      <w:r w:rsidRPr="00447979">
        <w:rPr>
          <w:rFonts w:cs="Times New Roman"/>
          <w:i/>
          <w:iCs/>
          <w:color w:val="222222"/>
          <w:szCs w:val="24"/>
          <w:shd w:val="clear" w:color="auto" w:fill="FFFFFF"/>
        </w:rPr>
        <w:t>9</w:t>
      </w:r>
      <w:r w:rsidRPr="00447979">
        <w:rPr>
          <w:rFonts w:cs="Times New Roman"/>
          <w:color w:val="222222"/>
          <w:szCs w:val="24"/>
          <w:shd w:val="clear" w:color="auto" w:fill="FFFFFF"/>
        </w:rPr>
        <w:t>(5), 638-645.</w:t>
      </w:r>
    </w:p>
    <w:p w14:paraId="4C244265"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Haddad, L. M., &amp; Geiger, R. A. (2018). Nursing ethical considerations.</w:t>
      </w:r>
    </w:p>
    <w:p w14:paraId="2613FB2E"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Haider-Markel, D., Taylor, J., Flores, A., Lewis, D., Miller, P., &amp; Tadlock, B. (2019, April). Morality politics and new research on transgender politics and public policy. In </w:t>
      </w:r>
      <w:proofErr w:type="gramStart"/>
      <w:r w:rsidRPr="00447979">
        <w:rPr>
          <w:rFonts w:cs="Times New Roman"/>
          <w:i/>
          <w:iCs/>
          <w:color w:val="222222"/>
          <w:szCs w:val="24"/>
          <w:shd w:val="clear" w:color="auto" w:fill="FFFFFF"/>
        </w:rPr>
        <w:t>The</w:t>
      </w:r>
      <w:proofErr w:type="gramEnd"/>
      <w:r w:rsidRPr="00447979">
        <w:rPr>
          <w:rFonts w:cs="Times New Roman"/>
          <w:i/>
          <w:iCs/>
          <w:color w:val="222222"/>
          <w:szCs w:val="24"/>
          <w:shd w:val="clear" w:color="auto" w:fill="FFFFFF"/>
        </w:rPr>
        <w:t xml:space="preserve"> Forum</w:t>
      </w:r>
      <w:r w:rsidRPr="00447979">
        <w:rPr>
          <w:rFonts w:cs="Times New Roman"/>
          <w:color w:val="222222"/>
          <w:szCs w:val="24"/>
          <w:shd w:val="clear" w:color="auto" w:fill="FFFFFF"/>
        </w:rPr>
        <w:t> (Vol. 17, No. 1, pp. 159-181). De Gruyter.</w:t>
      </w:r>
    </w:p>
    <w:p w14:paraId="6797C90F"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Juretschke, L. J., &amp; RNC-NPT, A. P. N. (2017). Anatomy of a Lawsuit: The Process of Litigation in Medical Malpractice Cases.</w:t>
      </w:r>
    </w:p>
    <w:p w14:paraId="45092AE0"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Kimberly, L. L., Folkers, K. M., Friesen, P., Sultan, D., Quinn, G. P., Bateman-House, A., ... &amp; Salas-Humara, C. (2018). Ethical issues in gender-affirming care for youth. </w:t>
      </w:r>
      <w:r w:rsidRPr="00447979">
        <w:rPr>
          <w:rFonts w:cs="Times New Roman"/>
          <w:i/>
          <w:iCs/>
          <w:color w:val="222222"/>
          <w:szCs w:val="24"/>
          <w:shd w:val="clear" w:color="auto" w:fill="FFFFFF"/>
        </w:rPr>
        <w:t>Pediatrics</w:t>
      </w:r>
      <w:r w:rsidRPr="00447979">
        <w:rPr>
          <w:rFonts w:cs="Times New Roman"/>
          <w:color w:val="222222"/>
          <w:szCs w:val="24"/>
          <w:shd w:val="clear" w:color="auto" w:fill="FFFFFF"/>
        </w:rPr>
        <w:t>, </w:t>
      </w:r>
      <w:r w:rsidRPr="00447979">
        <w:rPr>
          <w:rFonts w:cs="Times New Roman"/>
          <w:i/>
          <w:iCs/>
          <w:color w:val="222222"/>
          <w:szCs w:val="24"/>
          <w:shd w:val="clear" w:color="auto" w:fill="FFFFFF"/>
        </w:rPr>
        <w:t>142</w:t>
      </w:r>
      <w:r w:rsidRPr="00447979">
        <w:rPr>
          <w:rFonts w:cs="Times New Roman"/>
          <w:color w:val="222222"/>
          <w:szCs w:val="24"/>
          <w:shd w:val="clear" w:color="auto" w:fill="FFFFFF"/>
        </w:rPr>
        <w:t>(6).</w:t>
      </w:r>
    </w:p>
    <w:p w14:paraId="0BBEB8D5"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Matera, C., Nerini, A., &amp; Stefanile, C. (2019). Sexual orientation, peer influence, body dissatisfaction, and Eudaimonic well-being in Italian men. </w:t>
      </w:r>
      <w:r w:rsidRPr="00447979">
        <w:rPr>
          <w:rFonts w:cs="Times New Roman"/>
          <w:i/>
          <w:iCs/>
          <w:color w:val="222222"/>
          <w:szCs w:val="24"/>
          <w:shd w:val="clear" w:color="auto" w:fill="FFFFFF"/>
        </w:rPr>
        <w:t>Frontiers in psychology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10</w:t>
      </w:r>
      <w:r w:rsidRPr="00447979">
        <w:rPr>
          <w:rFonts w:cs="Times New Roman"/>
          <w:color w:val="222222"/>
          <w:szCs w:val="24"/>
          <w:shd w:val="clear" w:color="auto" w:fill="FFFFFF"/>
        </w:rPr>
        <w:t>, 1843.</w:t>
      </w:r>
    </w:p>
    <w:p w14:paraId="2EC5749C" w14:textId="77777777" w:rsidR="00447979" w:rsidRPr="00447979" w:rsidRDefault="009C7E6D"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lastRenderedPageBreak/>
        <w:t>Wittenberg, E., Ferrell, B., Goldsmith, J., Buller, H., &amp; Neiman, T. (2016). Nurse communication about goals of care. </w:t>
      </w:r>
      <w:r w:rsidRPr="00447979">
        <w:rPr>
          <w:rFonts w:cs="Times New Roman"/>
          <w:i/>
          <w:iCs/>
          <w:color w:val="222222"/>
          <w:szCs w:val="24"/>
          <w:shd w:val="clear" w:color="auto" w:fill="FFFFFF"/>
        </w:rPr>
        <w:t>Journal of the advanced practitioner in oncology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7</w:t>
      </w:r>
      <w:r w:rsidRPr="00447979">
        <w:rPr>
          <w:rFonts w:cs="Times New Roman"/>
          <w:color w:val="222222"/>
          <w:szCs w:val="24"/>
          <w:shd w:val="clear" w:color="auto" w:fill="FFFFFF"/>
        </w:rPr>
        <w:t>(2), 146.</w:t>
      </w:r>
    </w:p>
    <w:p w14:paraId="11D4275A" w14:textId="77777777" w:rsidR="00B00F96" w:rsidRDefault="00B00F96">
      <w:pPr>
        <w:rPr>
          <w:rFonts w:cs="Times New Roman"/>
          <w:szCs w:val="24"/>
        </w:rPr>
      </w:pPr>
    </w:p>
    <w:p w14:paraId="0DB7118A" w14:textId="77777777" w:rsidR="006970FF" w:rsidRPr="00196D8E" w:rsidRDefault="006970FF">
      <w:pPr>
        <w:rPr>
          <w:rFonts w:cs="Times New Roman"/>
          <w:szCs w:val="24"/>
        </w:rPr>
      </w:pPr>
    </w:p>
    <w:p w14:paraId="5F213ABE" w14:textId="2C50B974" w:rsidR="00560AB3" w:rsidRDefault="00560AB3"/>
    <w:p w14:paraId="2FE76DFC" w14:textId="5C732407" w:rsidR="0089084A" w:rsidRDefault="0089084A"/>
    <w:p w14:paraId="483A0552" w14:textId="74EB0064" w:rsidR="0089084A" w:rsidRDefault="0089084A"/>
    <w:p w14:paraId="767AE1DA" w14:textId="63376D31" w:rsidR="0089084A" w:rsidRDefault="0089084A"/>
    <w:p w14:paraId="6064DA86" w14:textId="18202BD6" w:rsidR="0089084A" w:rsidRDefault="0089084A"/>
    <w:p w14:paraId="253E6C76" w14:textId="77777777" w:rsidR="0089084A" w:rsidRDefault="0089084A"/>
    <w:sectPr w:rsidR="0089084A" w:rsidSect="00040400">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6481F" w14:textId="77777777" w:rsidR="001022F3" w:rsidRDefault="001022F3">
      <w:pPr>
        <w:spacing w:after="0" w:line="240" w:lineRule="auto"/>
      </w:pPr>
      <w:r>
        <w:separator/>
      </w:r>
    </w:p>
  </w:endnote>
  <w:endnote w:type="continuationSeparator" w:id="0">
    <w:p w14:paraId="12FDD301" w14:textId="77777777" w:rsidR="001022F3" w:rsidRDefault="00102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E2992" w14:textId="77777777" w:rsidR="001022F3" w:rsidRDefault="001022F3">
      <w:pPr>
        <w:spacing w:after="0" w:line="240" w:lineRule="auto"/>
      </w:pPr>
      <w:r>
        <w:separator/>
      </w:r>
    </w:p>
  </w:footnote>
  <w:footnote w:type="continuationSeparator" w:id="0">
    <w:p w14:paraId="30AD5AC8" w14:textId="77777777" w:rsidR="001022F3" w:rsidRDefault="001022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226441"/>
      <w:docPartObj>
        <w:docPartGallery w:val="Page Numbers (Top of Page)"/>
        <w:docPartUnique/>
      </w:docPartObj>
    </w:sdtPr>
    <w:sdtEndPr>
      <w:rPr>
        <w:noProof/>
      </w:rPr>
    </w:sdtEndPr>
    <w:sdtContent>
      <w:p w14:paraId="7F25926C" w14:textId="48ADB2DA" w:rsidR="00040400" w:rsidRDefault="009C7E6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CD56B7" w14:textId="77777777" w:rsidR="00040400" w:rsidRDefault="00040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C15A" w14:textId="59AB9A8E" w:rsidR="00040400" w:rsidRDefault="009C7E6D">
    <w:pPr>
      <w:pStyle w:val="Header"/>
    </w:pPr>
    <w:r>
      <w:t>Running Head: TRANSGENDER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57"/>
    <w:rsid w:val="00040400"/>
    <w:rsid w:val="00047D54"/>
    <w:rsid w:val="000C41C0"/>
    <w:rsid w:val="000D2754"/>
    <w:rsid w:val="000E0A23"/>
    <w:rsid w:val="001022F3"/>
    <w:rsid w:val="00196D8E"/>
    <w:rsid w:val="001C3A4B"/>
    <w:rsid w:val="001D648C"/>
    <w:rsid w:val="0025117A"/>
    <w:rsid w:val="00264A5D"/>
    <w:rsid w:val="00283E0F"/>
    <w:rsid w:val="002E0DF0"/>
    <w:rsid w:val="00303E07"/>
    <w:rsid w:val="003237B2"/>
    <w:rsid w:val="003A3477"/>
    <w:rsid w:val="00447979"/>
    <w:rsid w:val="00501FDF"/>
    <w:rsid w:val="00510506"/>
    <w:rsid w:val="005367A3"/>
    <w:rsid w:val="005403B1"/>
    <w:rsid w:val="00560AB3"/>
    <w:rsid w:val="00587953"/>
    <w:rsid w:val="005D07DB"/>
    <w:rsid w:val="005D112C"/>
    <w:rsid w:val="0068084B"/>
    <w:rsid w:val="006970FF"/>
    <w:rsid w:val="006C226F"/>
    <w:rsid w:val="00751957"/>
    <w:rsid w:val="00757335"/>
    <w:rsid w:val="00802D30"/>
    <w:rsid w:val="00851B6B"/>
    <w:rsid w:val="0085317A"/>
    <w:rsid w:val="0089084A"/>
    <w:rsid w:val="00896D8A"/>
    <w:rsid w:val="00904D92"/>
    <w:rsid w:val="00925942"/>
    <w:rsid w:val="00977416"/>
    <w:rsid w:val="009C7E6D"/>
    <w:rsid w:val="00AB5A89"/>
    <w:rsid w:val="00B00F96"/>
    <w:rsid w:val="00B34829"/>
    <w:rsid w:val="00B512DB"/>
    <w:rsid w:val="00BA22BD"/>
    <w:rsid w:val="00BC3E3C"/>
    <w:rsid w:val="00C17920"/>
    <w:rsid w:val="00C7168E"/>
    <w:rsid w:val="00CF53E8"/>
    <w:rsid w:val="00DA5D1C"/>
    <w:rsid w:val="00DB557C"/>
    <w:rsid w:val="00DD798E"/>
    <w:rsid w:val="00DE5C94"/>
    <w:rsid w:val="00E26B2B"/>
    <w:rsid w:val="00EC0481"/>
    <w:rsid w:val="00EC7C14"/>
    <w:rsid w:val="00EF41F2"/>
    <w:rsid w:val="00F372E7"/>
    <w:rsid w:val="00F80C2E"/>
    <w:rsid w:val="00FC7750"/>
    <w:rsid w:val="00FE4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A558"/>
  <w15:chartTrackingRefBased/>
  <w15:docId w15:val="{44CE05AE-7241-44C4-A098-E868859F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400"/>
  </w:style>
  <w:style w:type="paragraph" w:styleId="Footer">
    <w:name w:val="footer"/>
    <w:basedOn w:val="Normal"/>
    <w:link w:val="FooterChar"/>
    <w:uiPriority w:val="99"/>
    <w:unhideWhenUsed/>
    <w:rsid w:val="00040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1169</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47</cp:revision>
  <dcterms:created xsi:type="dcterms:W3CDTF">2021-09-02T08:12:00Z</dcterms:created>
  <dcterms:modified xsi:type="dcterms:W3CDTF">2021-09-27T07:04:00Z</dcterms:modified>
</cp:coreProperties>
</file>