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6EC" w:rsidRPr="00DE76EC" w:rsidRDefault="00DE76EC" w:rsidP="00DE76EC">
      <w:pPr>
        <w:tabs>
          <w:tab w:val="left" w:pos="4035"/>
        </w:tabs>
        <w:spacing w:line="480" w:lineRule="auto"/>
        <w:rPr>
          <w:rFonts w:ascii="Times New Roman" w:hAnsi="Times New Roman" w:cs="Times New Roman"/>
          <w:sz w:val="24"/>
          <w:szCs w:val="24"/>
        </w:rPr>
      </w:pP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Name</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Tutor</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Course name</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Date</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Trifles</w:t>
      </w:r>
    </w:p>
    <w:p w:rsidR="00DE76EC" w:rsidRPr="00DE76EC" w:rsidRDefault="00DE76EC" w:rsidP="00DE76EC">
      <w:pPr>
        <w:tabs>
          <w:tab w:val="left" w:pos="4035"/>
        </w:tabs>
        <w:spacing w:line="480" w:lineRule="auto"/>
        <w:jc w:val="center"/>
        <w:rPr>
          <w:rFonts w:ascii="Times New Roman" w:hAnsi="Times New Roman" w:cs="Times New Roman"/>
          <w:b/>
          <w:sz w:val="24"/>
          <w:szCs w:val="24"/>
        </w:rPr>
      </w:pPr>
      <w:r w:rsidRPr="00DE76EC">
        <w:rPr>
          <w:rFonts w:ascii="Times New Roman" w:hAnsi="Times New Roman" w:cs="Times New Roman"/>
          <w:b/>
          <w:sz w:val="24"/>
          <w:szCs w:val="24"/>
        </w:rPr>
        <w:t>Introduction</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The play was written by the Author, Susan Glaspell after she worked as a newspaper reporter. Trifles highlight the issue of justice, identity politics, and gender issues that are contemporary. These issues could be contradicting, but the Author, Susan Glaspell finds a way of putting all of them together to make sense. However, the plot of the play focuses on the moral choice of Mrs. Peters and Mrs. Hale in decision making on the exposure of Mr. Wright killing by Mrs. Wright. Susan Glaspell talks about personal transformation emerging in women after they feel the emotional pain of what other women undergo through.</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 xml:space="preserve"> In the play, Mrs. Peters and Mrs. Hale are concerned in hiding important evidence that could convict Mrs. Wright. This is after they underwent gender identity, finding and putting their position first as women and not wives. They were touched with emotion pain on the suffering of Mrs. Wright inflicted by her husband over the years. They gather items from her house that they think might aid in giving her comfort. The hiding of evidence which shows motive for killing by both Mrs. Peters and Mrs. Hale is not justifiable. As much as Mrs. Wright was going through domestic abuse, they should have left the law to take its course.</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lastRenderedPageBreak/>
        <w:t xml:space="preserve">On the other end, men are considered to be serious with the murder investigation. They are on toes, looking for evidence in every possible location. Men are cautious, as depicted by Mr. Henderson when he wanted to know if anything has tampered with that could comprise their investigations. He furthers accompany Mrs. Peters to witness on the clothes that she will take to Mrs. Wright. They look for evidence in every location; they check inside the house, outside the house and even ask the ladies to have a keen eye on anything that might help with their investigations. However, they are not able to see that the women are concealing evidence right in front of their noses. They are not able to see or notice their wives hiding something from them. Suggestively, the notion of justice is distorted or defective and misinterpreted. </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The speech patterns between men and women differ here. The speech for women I would say is organized spatially. They talk about how the things or topics appear in the house. They started talking about anything they come across in the room like the bread set, the cherries, the knitting, the birdcage and its death. At some point the women talked about Mr. Wright's death if Mrs. Wright killed him or not, and why she was nervous.</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 xml:space="preserve">On the contrary, the organization speech of the men is in chronological order, and this is evident during their investigations. They follow one step at a time to come up with conclusive evidence. They went to the scene of the crime to get evidence that could suggest or prove the death of Mr. Wright. They started their investigations by the fire. Mr. Hale tells his side of the story to Mr. Henderson, the County Attorney, from the beginning to the end. He unfolds the events that transpired in chronological order. He starts with giving the reason of being there, his meet with Mrs. Wright and her queer status, as he implies. He continued getting help from </w:t>
      </w:r>
      <w:proofErr w:type="gramStart"/>
      <w:r w:rsidRPr="00DE76EC">
        <w:rPr>
          <w:rFonts w:ascii="Times New Roman" w:hAnsi="Times New Roman" w:cs="Times New Roman"/>
          <w:sz w:val="24"/>
          <w:szCs w:val="24"/>
        </w:rPr>
        <w:t>Harry,</w:t>
      </w:r>
      <w:proofErr w:type="gramEnd"/>
      <w:r w:rsidRPr="00DE76EC">
        <w:rPr>
          <w:rFonts w:ascii="Times New Roman" w:hAnsi="Times New Roman" w:cs="Times New Roman"/>
          <w:sz w:val="24"/>
          <w:szCs w:val="24"/>
        </w:rPr>
        <w:t xml:space="preserve"> went upstairs and check the manner in which Mr. Wright died.</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lastRenderedPageBreak/>
        <w:t>Furthermore, he told them of his inquiring on Mr. Wright's death from his wife and the reporting to the coroner. After the kitchen scene, they went upstairs to get a better picture of what could have happened. They came downstairs and went outside for further investigations that are relevant to the murder case.</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 xml:space="preserve">The theme that the author talks about in the above comparison is gender. The comparison clearly describes or illustrates the difference that exists between men and women. The Sheriff and the County Attorney concentrate on evidence gathering against the crime purportedly committed by Minnie, and on the other hand, Mrs. Peters and Mrs. Hale are engulfed in the understanding of the emotional pain that lead to the murder of Mr. Wright, Minnie's husband. Justice is another theme that we could look at. Its interpretation seems different from various characters in the play. Comparatively, as conveyed vividly in the play, the men are concerned with finding the evidence that will lead to the conviction of Minnie, while the women associate themselves in concealing the state of emotions because of the pain and suffering that Minnie went </w:t>
      </w:r>
      <w:proofErr w:type="gramStart"/>
      <w:r w:rsidRPr="00DE76EC">
        <w:rPr>
          <w:rFonts w:ascii="Times New Roman" w:hAnsi="Times New Roman" w:cs="Times New Roman"/>
          <w:sz w:val="24"/>
          <w:szCs w:val="24"/>
        </w:rPr>
        <w:t>through, that</w:t>
      </w:r>
      <w:proofErr w:type="gramEnd"/>
      <w:r w:rsidRPr="00DE76EC">
        <w:rPr>
          <w:rFonts w:ascii="Times New Roman" w:hAnsi="Times New Roman" w:cs="Times New Roman"/>
          <w:sz w:val="24"/>
          <w:szCs w:val="24"/>
        </w:rPr>
        <w:t xml:space="preserve"> was caused by her husband. My opinionated response would be that justice should be done at the court of law, not by an individual because it's a neutral ground.</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 xml:space="preserve">The use of ‘Trifles' in this play was to purposefully communicate to the audience as they show motive for murder. This is depicted when Mrs. Wright gets worried because of the broken jars that contain preserves, instead of worrying about a more serious issue. Another ‘trifle' that showed motive of the murder is the quilt that the women found. It had stitches that were erratic. As noticed by Mrs. Hale, the sewing everywhere was neat, except at one point where it was erratic. She tells Mrs. Peters on how she could become fidgety. The birdcage is another ‘trifle.' It had a broken door due to the destruction of the hinge, as it was pulled apart. Finally, the dead </w:t>
      </w:r>
      <w:r w:rsidRPr="00DE76EC">
        <w:rPr>
          <w:rFonts w:ascii="Times New Roman" w:hAnsi="Times New Roman" w:cs="Times New Roman"/>
          <w:sz w:val="24"/>
          <w:szCs w:val="24"/>
        </w:rPr>
        <w:lastRenderedPageBreak/>
        <w:t>canary found by the women could be used as the motive for murder. It was wrapped in silk, and its neck had been twisted.</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There are various characterizations in this play. However, we shall look at Mrs. Hale and Mrs. Peters. They entered the house with fear, standing close to each other. Mrs. Peters is seen as protective and loyal over other women. This is depicted in the kitchen where Mr. Henderson refers to it as the "nice mess." It's further illustrated when Mrs. Peters tells the lawyer, Mr. Henderson, that Mrs. Wright was worried about her preserves, her fruit freezing, fire going out and the breaking of her jars. The County Attorney goes ahead to complain about the dirty towel, insinuating that Mrs. Wright was not that of a housekeeper, and even dares to ask the ladies if they conquer with him. Mrs. Hale states that as much as men hands to appear clean, they are not.</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 xml:space="preserve">Mrs. Hale brings out the character of hate. She says she would hate to see men who not only come to house and </w:t>
      </w:r>
      <w:proofErr w:type="gramStart"/>
      <w:r w:rsidRPr="00DE76EC">
        <w:rPr>
          <w:rFonts w:ascii="Times New Roman" w:hAnsi="Times New Roman" w:cs="Times New Roman"/>
          <w:sz w:val="24"/>
          <w:szCs w:val="24"/>
        </w:rPr>
        <w:t>snoop</w:t>
      </w:r>
      <w:proofErr w:type="gramEnd"/>
      <w:r w:rsidRPr="00DE76EC">
        <w:rPr>
          <w:rFonts w:ascii="Times New Roman" w:hAnsi="Times New Roman" w:cs="Times New Roman"/>
          <w:sz w:val="24"/>
          <w:szCs w:val="24"/>
        </w:rPr>
        <w:t xml:space="preserve"> her kitchen but also criticize it. Mrs. Peters becomes skeptical when being asked by Mrs. Wright to take her apron in jail, and there's nothing that could make her dirty while in there. It sounds funny to her because people in jail do not always ask for such things. Mrs. Hale was resentful when the Sherriff joked and laughed about them on trying to find out if Mrs. Wright was going to knot it or quilt.</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Both their characters are seen as protective and loyal over women. Mr. Hale, for example, gets upset very quickly because she feels she was not treated well by Sherriff when he laughed at them on the little things that the debate on. At some point, the birdcage was hidden from the sheriff and the County Attorney, and by doing that, they were protecting Mrs. Wright because it could be used as evidence for the motive to commit murder.</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lastRenderedPageBreak/>
        <w:t>Along the play, Mrs. Hale tells Mrs. Peters of not liking the place and appreciates her for accompanying because she would be lonely. She further reiterates that the investigators should get the evidence as fast as they could so that they could leave the place. However, she seems regretful of not coming to the place when Mrs. Wright was still around. She regrets to Mrs. Peters: "…I wish I had come over sometimes when she was here..." She complains of the place not being cheerful and being located in a creepy location.</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 xml:space="preserve">Interestingly, Mrs. Peters comforts her against the regrets. She talks of her being busy, concentrating on both her children and her house. She protected Mrs. Hale over her unpleasant feelings and wishes. </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 xml:space="preserve">I would wish to sympathize with County Attorney. He tried very hard to get the evidence in the scene of the crime, but it was futile. He's very much dedicated and focused to his work. He is very concerned and cautious about tampering with the evidence. At the beginning of the play, during his investigation, he tries to find out if there's anything that has been tampered with, that could affect the credibility of the investigations. </w:t>
      </w:r>
      <w:proofErr w:type="spellStart"/>
      <w:r w:rsidRPr="00DE76EC">
        <w:rPr>
          <w:rFonts w:ascii="Times New Roman" w:hAnsi="Times New Roman" w:cs="Times New Roman"/>
          <w:sz w:val="24"/>
          <w:szCs w:val="24"/>
        </w:rPr>
        <w:t>Furtherly</w:t>
      </w:r>
      <w:proofErr w:type="spellEnd"/>
      <w:r w:rsidRPr="00DE76EC">
        <w:rPr>
          <w:rFonts w:ascii="Times New Roman" w:hAnsi="Times New Roman" w:cs="Times New Roman"/>
          <w:sz w:val="24"/>
          <w:szCs w:val="24"/>
        </w:rPr>
        <w:t xml:space="preserve"> to that, he accompanies Mrs. Peters to see what he takes, when she was going to look for clothes that she could take to Mrs. Wright. Additionally, he stayed behind to go through the investigations again, to get it right, he believed he could do better than that. He wanted justice to take its course, besides the women concealing it.</w:t>
      </w:r>
    </w:p>
    <w:p w:rsidR="00DE76EC" w:rsidRPr="00DE76EC" w:rsidRDefault="00DE76EC" w:rsidP="00DE76EC">
      <w:pPr>
        <w:tabs>
          <w:tab w:val="left" w:pos="4035"/>
        </w:tabs>
        <w:spacing w:line="480" w:lineRule="auto"/>
        <w:rPr>
          <w:rFonts w:ascii="Times New Roman" w:hAnsi="Times New Roman" w:cs="Times New Roman"/>
          <w:sz w:val="24"/>
          <w:szCs w:val="24"/>
        </w:rPr>
      </w:pPr>
      <w:r w:rsidRPr="00DE76EC">
        <w:rPr>
          <w:rFonts w:ascii="Times New Roman" w:hAnsi="Times New Roman" w:cs="Times New Roman"/>
          <w:sz w:val="24"/>
          <w:szCs w:val="24"/>
        </w:rPr>
        <w:t xml:space="preserve">Conclusively, women are finding out about their gender identity in society. Their title as women come first and then wives. They tend to fight for justice for one of their own who was abused of the years by his husband by hiding crucial evidence that could be used as a motive. They are </w:t>
      </w:r>
      <w:r w:rsidRPr="00DE76EC">
        <w:rPr>
          <w:rFonts w:ascii="Times New Roman" w:hAnsi="Times New Roman" w:cs="Times New Roman"/>
          <w:sz w:val="24"/>
          <w:szCs w:val="24"/>
        </w:rPr>
        <w:lastRenderedPageBreak/>
        <w:t>engulfed with the emotional pain of what other women go through. Nevertheless, as per my suggestion, I do not agree with the hiding of evidence as it's against fighting for justice</w:t>
      </w:r>
      <w:proofErr w:type="gramStart"/>
      <w:r w:rsidRPr="00DE76EC">
        <w:rPr>
          <w:rFonts w:ascii="Times New Roman" w:hAnsi="Times New Roman" w:cs="Times New Roman"/>
          <w:sz w:val="24"/>
          <w:szCs w:val="24"/>
        </w:rPr>
        <w:t>..</w:t>
      </w:r>
      <w:proofErr w:type="gramEnd"/>
    </w:p>
    <w:p w:rsidR="00DE76EC" w:rsidRP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Default="00DE76EC" w:rsidP="00DE76EC">
      <w:pPr>
        <w:tabs>
          <w:tab w:val="left" w:pos="4035"/>
        </w:tabs>
        <w:spacing w:line="480" w:lineRule="auto"/>
        <w:rPr>
          <w:rFonts w:ascii="Times New Roman" w:hAnsi="Times New Roman" w:cs="Times New Roman"/>
          <w:sz w:val="24"/>
          <w:szCs w:val="24"/>
        </w:rPr>
      </w:pPr>
    </w:p>
    <w:p w:rsidR="00DE76EC" w:rsidRPr="00DE76EC" w:rsidRDefault="00DE76EC" w:rsidP="00DE76EC">
      <w:pPr>
        <w:tabs>
          <w:tab w:val="left" w:pos="4035"/>
        </w:tabs>
        <w:spacing w:line="480" w:lineRule="auto"/>
        <w:rPr>
          <w:rFonts w:ascii="Times New Roman" w:hAnsi="Times New Roman" w:cs="Times New Roman"/>
          <w:sz w:val="24"/>
          <w:szCs w:val="24"/>
        </w:rPr>
      </w:pPr>
    </w:p>
    <w:p w:rsidR="00DE76EC" w:rsidRPr="00DE76EC" w:rsidRDefault="00DE76EC" w:rsidP="00DE76EC">
      <w:pPr>
        <w:tabs>
          <w:tab w:val="left" w:pos="4035"/>
        </w:tabs>
        <w:spacing w:line="480" w:lineRule="auto"/>
        <w:jc w:val="center"/>
        <w:rPr>
          <w:rFonts w:ascii="Times New Roman" w:hAnsi="Times New Roman" w:cs="Times New Roman"/>
          <w:b/>
          <w:sz w:val="24"/>
          <w:szCs w:val="24"/>
        </w:rPr>
      </w:pPr>
      <w:r w:rsidRPr="00DE76EC">
        <w:rPr>
          <w:rFonts w:ascii="Times New Roman" w:hAnsi="Times New Roman" w:cs="Times New Roman"/>
          <w:b/>
          <w:sz w:val="24"/>
          <w:szCs w:val="24"/>
        </w:rPr>
        <w:lastRenderedPageBreak/>
        <w:t>Wok Cited</w:t>
      </w:r>
    </w:p>
    <w:p w:rsidR="00DE76EC" w:rsidRPr="00DE76EC" w:rsidRDefault="00DE76EC" w:rsidP="00DE76EC">
      <w:pPr>
        <w:spacing w:line="360" w:lineRule="auto"/>
        <w:ind w:left="720" w:hanging="720"/>
        <w:rPr>
          <w:rFonts w:ascii="Times New Roman" w:hAnsi="Times New Roman" w:cs="Times New Roman"/>
          <w:sz w:val="24"/>
          <w:szCs w:val="24"/>
        </w:rPr>
      </w:pPr>
      <w:r w:rsidRPr="00DE76EC">
        <w:rPr>
          <w:rFonts w:ascii="Times New Roman" w:hAnsi="Times New Roman" w:cs="Times New Roman"/>
          <w:sz w:val="24"/>
          <w:szCs w:val="24"/>
        </w:rPr>
        <w:t>Ben-</w:t>
      </w:r>
      <w:proofErr w:type="spellStart"/>
      <w:r w:rsidRPr="00DE76EC">
        <w:rPr>
          <w:rFonts w:ascii="Times New Roman" w:hAnsi="Times New Roman" w:cs="Times New Roman"/>
          <w:sz w:val="24"/>
          <w:szCs w:val="24"/>
        </w:rPr>
        <w:t>Zvi</w:t>
      </w:r>
      <w:proofErr w:type="spellEnd"/>
      <w:r w:rsidRPr="00DE76EC">
        <w:rPr>
          <w:rFonts w:ascii="Times New Roman" w:hAnsi="Times New Roman" w:cs="Times New Roman"/>
          <w:sz w:val="24"/>
          <w:szCs w:val="24"/>
        </w:rPr>
        <w:t xml:space="preserve">, Linda, ed. Susan Glaspell: Essays on Her Theater and Fiction. </w:t>
      </w:r>
      <w:proofErr w:type="gramStart"/>
      <w:r w:rsidRPr="00DE76EC">
        <w:rPr>
          <w:rFonts w:ascii="Times New Roman" w:hAnsi="Times New Roman" w:cs="Times New Roman"/>
          <w:sz w:val="24"/>
          <w:szCs w:val="24"/>
        </w:rPr>
        <w:t>University of Michigan Press, 2002.</w:t>
      </w:r>
      <w:proofErr w:type="gramEnd"/>
    </w:p>
    <w:p w:rsidR="00DE76EC" w:rsidRPr="00DE76EC" w:rsidRDefault="00DE76EC" w:rsidP="00DE76EC">
      <w:pPr>
        <w:spacing w:line="360" w:lineRule="auto"/>
        <w:ind w:left="720" w:hanging="720"/>
        <w:rPr>
          <w:rFonts w:ascii="Times New Roman" w:hAnsi="Times New Roman" w:cs="Times New Roman"/>
          <w:sz w:val="24"/>
          <w:szCs w:val="24"/>
        </w:rPr>
      </w:pPr>
      <w:proofErr w:type="spellStart"/>
      <w:r w:rsidRPr="00DE76EC">
        <w:rPr>
          <w:rFonts w:ascii="Times New Roman" w:hAnsi="Times New Roman" w:cs="Times New Roman"/>
          <w:sz w:val="24"/>
          <w:szCs w:val="24"/>
        </w:rPr>
        <w:t>Dymkowski</w:t>
      </w:r>
      <w:proofErr w:type="spellEnd"/>
      <w:r w:rsidRPr="00DE76EC">
        <w:rPr>
          <w:rFonts w:ascii="Times New Roman" w:hAnsi="Times New Roman" w:cs="Times New Roman"/>
          <w:sz w:val="24"/>
          <w:szCs w:val="24"/>
        </w:rPr>
        <w:t>, Christine. "On the Edge: The Plays of Susan Glaspell." Modern Drama 31.1 (1988): 91-105.</w:t>
      </w:r>
    </w:p>
    <w:p w:rsidR="00DE76EC" w:rsidRPr="00DE76EC" w:rsidRDefault="00DE76EC" w:rsidP="00DE76EC">
      <w:pPr>
        <w:spacing w:line="360" w:lineRule="auto"/>
        <w:ind w:left="720" w:hanging="720"/>
        <w:rPr>
          <w:rFonts w:ascii="Times New Roman" w:hAnsi="Times New Roman" w:cs="Times New Roman"/>
          <w:sz w:val="24"/>
          <w:szCs w:val="24"/>
        </w:rPr>
      </w:pPr>
      <w:r w:rsidRPr="00DE76EC">
        <w:rPr>
          <w:rFonts w:ascii="Times New Roman" w:hAnsi="Times New Roman" w:cs="Times New Roman"/>
          <w:sz w:val="24"/>
          <w:szCs w:val="24"/>
        </w:rPr>
        <w:t xml:space="preserve">Manuel Cuenca, </w:t>
      </w:r>
      <w:proofErr w:type="spellStart"/>
      <w:r w:rsidRPr="00DE76EC">
        <w:rPr>
          <w:rFonts w:ascii="Times New Roman" w:hAnsi="Times New Roman" w:cs="Times New Roman"/>
          <w:sz w:val="24"/>
          <w:szCs w:val="24"/>
        </w:rPr>
        <w:t>Carme</w:t>
      </w:r>
      <w:proofErr w:type="spellEnd"/>
      <w:r w:rsidRPr="00DE76EC">
        <w:rPr>
          <w:rFonts w:ascii="Times New Roman" w:hAnsi="Times New Roman" w:cs="Times New Roman"/>
          <w:sz w:val="24"/>
          <w:szCs w:val="24"/>
        </w:rPr>
        <w:t xml:space="preserve">. </w:t>
      </w:r>
      <w:proofErr w:type="gramStart"/>
      <w:r w:rsidRPr="00DE76EC">
        <w:rPr>
          <w:rFonts w:ascii="Times New Roman" w:hAnsi="Times New Roman" w:cs="Times New Roman"/>
          <w:sz w:val="24"/>
          <w:szCs w:val="24"/>
        </w:rPr>
        <w:t>"Susan Glaspell's" Trifles"(1916): women's conspiracy of silence beyond the melodrama of beset womanhood."</w:t>
      </w:r>
      <w:proofErr w:type="gramEnd"/>
      <w:r w:rsidRPr="00DE76EC">
        <w:rPr>
          <w:rFonts w:ascii="Times New Roman" w:hAnsi="Times New Roman" w:cs="Times New Roman"/>
          <w:sz w:val="24"/>
          <w:szCs w:val="24"/>
        </w:rPr>
        <w:t xml:space="preserve"> </w:t>
      </w:r>
      <w:proofErr w:type="spellStart"/>
      <w:proofErr w:type="gramStart"/>
      <w:r w:rsidRPr="00DE76EC">
        <w:rPr>
          <w:rFonts w:ascii="Times New Roman" w:hAnsi="Times New Roman" w:cs="Times New Roman"/>
          <w:sz w:val="24"/>
          <w:szCs w:val="24"/>
        </w:rPr>
        <w:t>Revista</w:t>
      </w:r>
      <w:proofErr w:type="spellEnd"/>
      <w:r w:rsidRPr="00DE76EC">
        <w:rPr>
          <w:rFonts w:ascii="Times New Roman" w:hAnsi="Times New Roman" w:cs="Times New Roman"/>
          <w:sz w:val="24"/>
          <w:szCs w:val="24"/>
        </w:rPr>
        <w:t xml:space="preserve"> de </w:t>
      </w:r>
      <w:proofErr w:type="spellStart"/>
      <w:r w:rsidRPr="00DE76EC">
        <w:rPr>
          <w:rFonts w:ascii="Times New Roman" w:hAnsi="Times New Roman" w:cs="Times New Roman"/>
          <w:sz w:val="24"/>
          <w:szCs w:val="24"/>
        </w:rPr>
        <w:t>Estudios</w:t>
      </w:r>
      <w:proofErr w:type="spellEnd"/>
      <w:r w:rsidRPr="00DE76EC">
        <w:rPr>
          <w:rFonts w:ascii="Times New Roman" w:hAnsi="Times New Roman" w:cs="Times New Roman"/>
          <w:sz w:val="24"/>
          <w:szCs w:val="24"/>
        </w:rPr>
        <w:t xml:space="preserve"> </w:t>
      </w:r>
      <w:proofErr w:type="spellStart"/>
      <w:r w:rsidRPr="00DE76EC">
        <w:rPr>
          <w:rFonts w:ascii="Times New Roman" w:hAnsi="Times New Roman" w:cs="Times New Roman"/>
          <w:sz w:val="24"/>
          <w:szCs w:val="24"/>
        </w:rPr>
        <w:t>Norteamericanos</w:t>
      </w:r>
      <w:proofErr w:type="spellEnd"/>
      <w:r w:rsidRPr="00DE76EC">
        <w:rPr>
          <w:rFonts w:ascii="Times New Roman" w:hAnsi="Times New Roman" w:cs="Times New Roman"/>
          <w:sz w:val="24"/>
          <w:szCs w:val="24"/>
        </w:rPr>
        <w:t>, 7, 55-65 (2000).</w:t>
      </w:r>
      <w:proofErr w:type="gramEnd"/>
    </w:p>
    <w:p w:rsidR="00DE76EC" w:rsidRPr="00DE76EC" w:rsidRDefault="00DE76EC" w:rsidP="00DE76EC">
      <w:pPr>
        <w:spacing w:line="360" w:lineRule="auto"/>
        <w:ind w:left="720" w:hanging="720"/>
        <w:rPr>
          <w:rFonts w:ascii="Times New Roman" w:hAnsi="Times New Roman" w:cs="Times New Roman"/>
          <w:sz w:val="24"/>
          <w:szCs w:val="24"/>
        </w:rPr>
      </w:pPr>
      <w:proofErr w:type="gramStart"/>
      <w:r w:rsidRPr="00DE76EC">
        <w:rPr>
          <w:rFonts w:ascii="Times New Roman" w:hAnsi="Times New Roman" w:cs="Times New Roman"/>
          <w:sz w:val="24"/>
          <w:szCs w:val="24"/>
        </w:rPr>
        <w:t>Waterman, Arthur E. "Susan Glaspell (1882?-1948)."</w:t>
      </w:r>
      <w:proofErr w:type="gramEnd"/>
      <w:r w:rsidRPr="00DE76EC">
        <w:rPr>
          <w:rFonts w:ascii="Times New Roman" w:hAnsi="Times New Roman" w:cs="Times New Roman"/>
          <w:sz w:val="24"/>
          <w:szCs w:val="24"/>
        </w:rPr>
        <w:t xml:space="preserve"> American Literary Realism, 1870-1910 (1971): 183-191.</w:t>
      </w:r>
    </w:p>
    <w:p w:rsidR="00DE76EC" w:rsidRPr="00DE76EC" w:rsidRDefault="00DE76EC" w:rsidP="00DE76EC">
      <w:pPr>
        <w:tabs>
          <w:tab w:val="left" w:pos="4035"/>
        </w:tabs>
        <w:spacing w:line="480" w:lineRule="auto"/>
        <w:rPr>
          <w:rFonts w:ascii="Times New Roman" w:hAnsi="Times New Roman" w:cs="Times New Roman"/>
          <w:sz w:val="24"/>
          <w:szCs w:val="24"/>
        </w:rPr>
      </w:pPr>
    </w:p>
    <w:p w:rsidR="00DE76EC" w:rsidRPr="00DE76EC" w:rsidRDefault="00DE76EC" w:rsidP="00DE76EC">
      <w:pPr>
        <w:tabs>
          <w:tab w:val="left" w:pos="4035"/>
        </w:tabs>
        <w:spacing w:line="480" w:lineRule="auto"/>
        <w:rPr>
          <w:rFonts w:ascii="Times New Roman" w:hAnsi="Times New Roman" w:cs="Times New Roman"/>
          <w:sz w:val="24"/>
          <w:szCs w:val="24"/>
        </w:rPr>
      </w:pPr>
    </w:p>
    <w:p w:rsidR="00127382" w:rsidRDefault="00127382" w:rsidP="007624C8">
      <w:pPr>
        <w:tabs>
          <w:tab w:val="left" w:pos="4035"/>
        </w:tabs>
        <w:spacing w:line="480" w:lineRule="auto"/>
        <w:rPr>
          <w:rFonts w:ascii="Times New Roman" w:hAnsi="Times New Roman" w:cs="Times New Roman"/>
          <w:sz w:val="24"/>
          <w:szCs w:val="24"/>
        </w:rPr>
      </w:pPr>
    </w:p>
    <w:sectPr w:rsidR="00127382" w:rsidSect="0034478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4D26" w:rsidRDefault="00094D26" w:rsidP="00671487">
      <w:pPr>
        <w:spacing w:after="0" w:line="240" w:lineRule="auto"/>
      </w:pPr>
      <w:r>
        <w:separator/>
      </w:r>
    </w:p>
  </w:endnote>
  <w:endnote w:type="continuationSeparator" w:id="0">
    <w:p w:rsidR="00094D26" w:rsidRDefault="00094D26" w:rsidP="006714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4D26" w:rsidRDefault="00094D26" w:rsidP="00671487">
      <w:pPr>
        <w:spacing w:after="0" w:line="240" w:lineRule="auto"/>
      </w:pPr>
      <w:r>
        <w:separator/>
      </w:r>
    </w:p>
  </w:footnote>
  <w:footnote w:type="continuationSeparator" w:id="0">
    <w:p w:rsidR="00094D26" w:rsidRDefault="00094D26" w:rsidP="006714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9114767"/>
      <w:docPartObj>
        <w:docPartGallery w:val="Page Numbers (Top of Page)"/>
        <w:docPartUnique/>
      </w:docPartObj>
    </w:sdtPr>
    <w:sdtEndPr>
      <w:rPr>
        <w:noProof/>
      </w:rPr>
    </w:sdtEndPr>
    <w:sdtContent>
      <w:p w:rsidR="00671487" w:rsidRPr="00671487" w:rsidRDefault="00671487" w:rsidP="007B239D">
        <w:pPr>
          <w:pStyle w:val="Header"/>
          <w:spacing w:line="480" w:lineRule="auto"/>
          <w:jc w:val="right"/>
          <w:rPr>
            <w:rFonts w:ascii="Times New Roman" w:hAnsi="Times New Roman" w:cs="Times New Roman"/>
            <w:sz w:val="24"/>
            <w:szCs w:val="24"/>
          </w:rPr>
        </w:pPr>
        <w:r w:rsidRPr="00671487">
          <w:rPr>
            <w:rFonts w:ascii="Times New Roman" w:hAnsi="Times New Roman" w:cs="Times New Roman"/>
            <w:sz w:val="24"/>
            <w:szCs w:val="24"/>
          </w:rPr>
          <w:t xml:space="preserve">Surname </w:t>
        </w:r>
        <w:r w:rsidR="00344789" w:rsidRPr="00671487">
          <w:rPr>
            <w:rFonts w:ascii="Times New Roman" w:hAnsi="Times New Roman" w:cs="Times New Roman"/>
            <w:sz w:val="24"/>
            <w:szCs w:val="24"/>
          </w:rPr>
          <w:fldChar w:fldCharType="begin"/>
        </w:r>
        <w:r w:rsidRPr="00671487">
          <w:rPr>
            <w:rFonts w:ascii="Times New Roman" w:hAnsi="Times New Roman" w:cs="Times New Roman"/>
            <w:sz w:val="24"/>
            <w:szCs w:val="24"/>
          </w:rPr>
          <w:instrText xml:space="preserve"> PAGE   \* MERGEFORMAT </w:instrText>
        </w:r>
        <w:r w:rsidR="00344789" w:rsidRPr="00671487">
          <w:rPr>
            <w:rFonts w:ascii="Times New Roman" w:hAnsi="Times New Roman" w:cs="Times New Roman"/>
            <w:sz w:val="24"/>
            <w:szCs w:val="24"/>
          </w:rPr>
          <w:fldChar w:fldCharType="separate"/>
        </w:r>
        <w:r w:rsidR="00DE76EC">
          <w:rPr>
            <w:rFonts w:ascii="Times New Roman" w:hAnsi="Times New Roman" w:cs="Times New Roman"/>
            <w:noProof/>
            <w:sz w:val="24"/>
            <w:szCs w:val="24"/>
          </w:rPr>
          <w:t>7</w:t>
        </w:r>
        <w:r w:rsidR="00344789" w:rsidRPr="00671487">
          <w:rPr>
            <w:rFonts w:ascii="Times New Roman" w:hAnsi="Times New Roman" w:cs="Times New Roman"/>
            <w:noProof/>
            <w:sz w:val="24"/>
            <w:szCs w:val="24"/>
          </w:rPr>
          <w:fldChar w:fldCharType="end"/>
        </w:r>
      </w:p>
    </w:sdtContent>
  </w:sdt>
  <w:p w:rsidR="00671487" w:rsidRDefault="0067148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71487"/>
    <w:rsid w:val="0003189D"/>
    <w:rsid w:val="00037D72"/>
    <w:rsid w:val="0005441D"/>
    <w:rsid w:val="00094D26"/>
    <w:rsid w:val="000B05C6"/>
    <w:rsid w:val="000B55E4"/>
    <w:rsid w:val="000E7FF2"/>
    <w:rsid w:val="000F3AAB"/>
    <w:rsid w:val="000F4058"/>
    <w:rsid w:val="000F7F1B"/>
    <w:rsid w:val="00122D3E"/>
    <w:rsid w:val="00127382"/>
    <w:rsid w:val="00136FA3"/>
    <w:rsid w:val="00160F62"/>
    <w:rsid w:val="00184B23"/>
    <w:rsid w:val="00192E67"/>
    <w:rsid w:val="001A2393"/>
    <w:rsid w:val="001D12A5"/>
    <w:rsid w:val="001E6825"/>
    <w:rsid w:val="001F5A12"/>
    <w:rsid w:val="002073F1"/>
    <w:rsid w:val="00220638"/>
    <w:rsid w:val="002224FD"/>
    <w:rsid w:val="002302F1"/>
    <w:rsid w:val="00291607"/>
    <w:rsid w:val="002A7AE9"/>
    <w:rsid w:val="002B4CF4"/>
    <w:rsid w:val="002B71D1"/>
    <w:rsid w:val="003167B9"/>
    <w:rsid w:val="00326077"/>
    <w:rsid w:val="00332C8C"/>
    <w:rsid w:val="00344789"/>
    <w:rsid w:val="00362669"/>
    <w:rsid w:val="00366F22"/>
    <w:rsid w:val="003A2E9C"/>
    <w:rsid w:val="003F6E12"/>
    <w:rsid w:val="00407589"/>
    <w:rsid w:val="0041743D"/>
    <w:rsid w:val="00432BD1"/>
    <w:rsid w:val="0044230B"/>
    <w:rsid w:val="00442689"/>
    <w:rsid w:val="0046223C"/>
    <w:rsid w:val="004629A4"/>
    <w:rsid w:val="0046745D"/>
    <w:rsid w:val="00481608"/>
    <w:rsid w:val="004A1F83"/>
    <w:rsid w:val="004B2D77"/>
    <w:rsid w:val="004E28AD"/>
    <w:rsid w:val="004F6E7D"/>
    <w:rsid w:val="0051690D"/>
    <w:rsid w:val="005346F3"/>
    <w:rsid w:val="00556156"/>
    <w:rsid w:val="00563902"/>
    <w:rsid w:val="00573FAB"/>
    <w:rsid w:val="00593DEE"/>
    <w:rsid w:val="005A6001"/>
    <w:rsid w:val="005D52C0"/>
    <w:rsid w:val="005D6EF2"/>
    <w:rsid w:val="005F7BD3"/>
    <w:rsid w:val="006032EC"/>
    <w:rsid w:val="0062016F"/>
    <w:rsid w:val="00624BCB"/>
    <w:rsid w:val="006435AB"/>
    <w:rsid w:val="0066599E"/>
    <w:rsid w:val="00671487"/>
    <w:rsid w:val="00674D22"/>
    <w:rsid w:val="006819AE"/>
    <w:rsid w:val="006D00F9"/>
    <w:rsid w:val="007240AA"/>
    <w:rsid w:val="00740752"/>
    <w:rsid w:val="007624C8"/>
    <w:rsid w:val="007B239D"/>
    <w:rsid w:val="007C7444"/>
    <w:rsid w:val="007E0F7F"/>
    <w:rsid w:val="007E16A3"/>
    <w:rsid w:val="00806AB4"/>
    <w:rsid w:val="008259F4"/>
    <w:rsid w:val="0083556D"/>
    <w:rsid w:val="00836FBC"/>
    <w:rsid w:val="008851F5"/>
    <w:rsid w:val="008A4277"/>
    <w:rsid w:val="008B6544"/>
    <w:rsid w:val="008C7030"/>
    <w:rsid w:val="008D20DB"/>
    <w:rsid w:val="008D2B79"/>
    <w:rsid w:val="00913F83"/>
    <w:rsid w:val="00926A29"/>
    <w:rsid w:val="0093709D"/>
    <w:rsid w:val="009412F5"/>
    <w:rsid w:val="00963C0E"/>
    <w:rsid w:val="00963E78"/>
    <w:rsid w:val="0098063E"/>
    <w:rsid w:val="009878AE"/>
    <w:rsid w:val="009B29A3"/>
    <w:rsid w:val="009C6564"/>
    <w:rsid w:val="009D5500"/>
    <w:rsid w:val="009F167B"/>
    <w:rsid w:val="009F6FFB"/>
    <w:rsid w:val="00A123FD"/>
    <w:rsid w:val="00A41E3A"/>
    <w:rsid w:val="00A43130"/>
    <w:rsid w:val="00A45AF9"/>
    <w:rsid w:val="00A64F87"/>
    <w:rsid w:val="00A7718F"/>
    <w:rsid w:val="00A84902"/>
    <w:rsid w:val="00AE2FBF"/>
    <w:rsid w:val="00AE7C4F"/>
    <w:rsid w:val="00B11FA7"/>
    <w:rsid w:val="00B2610A"/>
    <w:rsid w:val="00B465E4"/>
    <w:rsid w:val="00B759E9"/>
    <w:rsid w:val="00BC5097"/>
    <w:rsid w:val="00BC651A"/>
    <w:rsid w:val="00C2747A"/>
    <w:rsid w:val="00C537E6"/>
    <w:rsid w:val="00CA3864"/>
    <w:rsid w:val="00CA538A"/>
    <w:rsid w:val="00CB21E7"/>
    <w:rsid w:val="00CD1EBC"/>
    <w:rsid w:val="00D72A13"/>
    <w:rsid w:val="00DA05F2"/>
    <w:rsid w:val="00DD29D9"/>
    <w:rsid w:val="00DE76EC"/>
    <w:rsid w:val="00E16FB0"/>
    <w:rsid w:val="00E20783"/>
    <w:rsid w:val="00E32D52"/>
    <w:rsid w:val="00E65A2D"/>
    <w:rsid w:val="00E97EC9"/>
    <w:rsid w:val="00EA0A41"/>
    <w:rsid w:val="00EB3DA0"/>
    <w:rsid w:val="00EE6F55"/>
    <w:rsid w:val="00F051B6"/>
    <w:rsid w:val="00F15222"/>
    <w:rsid w:val="00F177FE"/>
    <w:rsid w:val="00F221F8"/>
    <w:rsid w:val="00F23679"/>
    <w:rsid w:val="00F80506"/>
    <w:rsid w:val="00FC37F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4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487"/>
  </w:style>
  <w:style w:type="paragraph" w:styleId="Footer">
    <w:name w:val="footer"/>
    <w:basedOn w:val="Normal"/>
    <w:link w:val="FooterChar"/>
    <w:uiPriority w:val="99"/>
    <w:unhideWhenUsed/>
    <w:rsid w:val="00671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48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AA508-46B2-4CBB-8F6E-53BDACC76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1438</Words>
  <Characters>8199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2018-11-09T07:50:00Z</dcterms:created>
  <dcterms:modified xsi:type="dcterms:W3CDTF">2018-11-09T07:58:00Z</dcterms:modified>
</cp:coreProperties>
</file>