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center"/>
        <w:rPr>
          <w:rFonts w:ascii="Times New Roman" w:hAnsi="Times New Roman" w:cs="Times New Roman"/>
          <w:sz w:val="24"/>
          <w:szCs w:val="24"/>
        </w:rPr>
      </w:pPr>
    </w:p>
    <w:p w:rsidR="000979C1" w:rsidRPr="000979C1" w:rsidP="000979C1">
      <w:pPr>
        <w:spacing w:line="480" w:lineRule="auto"/>
        <w:ind w:firstLine="720"/>
        <w:jc w:val="center"/>
        <w:rPr>
          <w:rFonts w:ascii="Times New Roman" w:hAnsi="Times New Roman" w:cs="Times New Roman"/>
          <w:sz w:val="24"/>
          <w:szCs w:val="24"/>
        </w:rPr>
      </w:pPr>
      <w:r w:rsidRPr="000979C1">
        <w:rPr>
          <w:rFonts w:ascii="Times New Roman" w:hAnsi="Times New Roman" w:cs="Times New Roman"/>
          <w:sz w:val="24"/>
          <w:szCs w:val="24"/>
        </w:rPr>
        <w:t>Name</w:t>
      </w:r>
    </w:p>
    <w:p w:rsidR="000979C1" w:rsidRPr="000979C1" w:rsidP="000979C1">
      <w:pPr>
        <w:spacing w:line="480" w:lineRule="auto"/>
        <w:ind w:firstLine="720"/>
        <w:jc w:val="center"/>
        <w:rPr>
          <w:rFonts w:ascii="Times New Roman" w:hAnsi="Times New Roman" w:cs="Times New Roman"/>
          <w:sz w:val="24"/>
          <w:szCs w:val="24"/>
        </w:rPr>
      </w:pPr>
      <w:r w:rsidRPr="000979C1">
        <w:rPr>
          <w:rFonts w:ascii="Times New Roman" w:hAnsi="Times New Roman" w:cs="Times New Roman"/>
          <w:sz w:val="24"/>
          <w:szCs w:val="24"/>
        </w:rPr>
        <w:t>Institution</w:t>
      </w:r>
    </w:p>
    <w:p w:rsidR="000979C1" w:rsidRPr="000979C1" w:rsidP="000979C1">
      <w:pPr>
        <w:spacing w:line="480" w:lineRule="auto"/>
        <w:ind w:firstLine="720"/>
        <w:jc w:val="center"/>
        <w:rPr>
          <w:rFonts w:ascii="Times New Roman" w:hAnsi="Times New Roman" w:cs="Times New Roman"/>
          <w:sz w:val="24"/>
          <w:szCs w:val="24"/>
        </w:rPr>
      </w:pPr>
      <w:r w:rsidRPr="000979C1">
        <w:rPr>
          <w:rFonts w:ascii="Times New Roman" w:hAnsi="Times New Roman" w:cs="Times New Roman"/>
          <w:sz w:val="24"/>
          <w:szCs w:val="24"/>
        </w:rPr>
        <w:t>Course</w:t>
      </w:r>
    </w:p>
    <w:p w:rsidR="000979C1" w:rsidRPr="000979C1" w:rsidP="000979C1">
      <w:pPr>
        <w:spacing w:line="480" w:lineRule="auto"/>
        <w:ind w:firstLine="720"/>
        <w:jc w:val="center"/>
        <w:rPr>
          <w:rFonts w:ascii="Times New Roman" w:hAnsi="Times New Roman" w:cs="Times New Roman"/>
          <w:sz w:val="24"/>
          <w:szCs w:val="24"/>
        </w:rPr>
      </w:pPr>
      <w:r w:rsidRPr="000979C1">
        <w:rPr>
          <w:rFonts w:ascii="Times New Roman" w:hAnsi="Times New Roman" w:cs="Times New Roman"/>
          <w:sz w:val="24"/>
          <w:szCs w:val="24"/>
        </w:rPr>
        <w:t>Date</w:t>
      </w:r>
    </w:p>
    <w:p w:rsidR="000979C1" w:rsidRPr="000979C1" w:rsidP="000979C1">
      <w:pPr>
        <w:spacing w:line="480" w:lineRule="auto"/>
        <w:ind w:firstLine="720"/>
        <w:jc w:val="center"/>
        <w:rPr>
          <w:rFonts w:ascii="Times New Roman" w:hAnsi="Times New Roman" w:cs="Times New Roman"/>
          <w:sz w:val="24"/>
          <w:szCs w:val="24"/>
        </w:rPr>
      </w:pPr>
      <w:bookmarkStart w:id="0" w:name="_GoBack"/>
      <w:bookmarkEnd w:id="0"/>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ind w:firstLine="720"/>
        <w:jc w:val="both"/>
        <w:rPr>
          <w:rFonts w:ascii="Times New Roman" w:hAnsi="Times New Roman" w:cs="Times New Roman"/>
          <w:sz w:val="24"/>
          <w:szCs w:val="24"/>
        </w:rPr>
      </w:pPr>
    </w:p>
    <w:p w:rsidR="000979C1" w:rsidRPr="000979C1" w:rsidP="000979C1">
      <w:pPr>
        <w:spacing w:line="480" w:lineRule="auto"/>
        <w:jc w:val="both"/>
        <w:rPr>
          <w:rFonts w:ascii="Times New Roman" w:hAnsi="Times New Roman" w:cs="Times New Roman"/>
          <w:sz w:val="24"/>
          <w:szCs w:val="24"/>
        </w:rPr>
      </w:pPr>
    </w:p>
    <w:p w:rsidR="00E701C6" w:rsidP="000979C1">
      <w:pPr>
        <w:spacing w:line="480" w:lineRule="auto"/>
        <w:ind w:firstLine="720"/>
        <w:jc w:val="both"/>
        <w:rPr>
          <w:rFonts w:ascii="Times New Roman" w:hAnsi="Times New Roman" w:cs="Times New Roman"/>
          <w:sz w:val="24"/>
          <w:szCs w:val="24"/>
        </w:rPr>
      </w:pPr>
      <w:r w:rsidRPr="000979C1">
        <w:rPr>
          <w:rFonts w:ascii="Times New Roman" w:hAnsi="Times New Roman" w:cs="Times New Roman"/>
          <w:sz w:val="24"/>
          <w:szCs w:val="24"/>
        </w:rPr>
        <w:t>Tucker's analysis and conclusion are compelling. For instance, the rituals and the college students who are sighting ghosts in mirrors are conjuring interest, admiration, and attention, which is attained in a compelling way, which is powerful.  The truth can also show that the images seen in the mirrors occur as a replicate of different age stages, unique and powerful.  Preadolescents are prone to phantom, which are mostly related to love, and this is why the images in mirrors are most prefera</w:t>
      </w:r>
      <w:r w:rsidRPr="000979C1" w:rsidR="00F15677">
        <w:rPr>
          <w:rFonts w:ascii="Times New Roman" w:hAnsi="Times New Roman" w:cs="Times New Roman"/>
          <w:sz w:val="24"/>
          <w:szCs w:val="24"/>
        </w:rPr>
        <w:t>b</w:t>
      </w:r>
      <w:r w:rsidR="000979C1">
        <w:rPr>
          <w:rFonts w:ascii="Times New Roman" w:hAnsi="Times New Roman" w:cs="Times New Roman"/>
          <w:sz w:val="24"/>
          <w:szCs w:val="24"/>
        </w:rPr>
        <w:t>ly to be about phantom lovers</w:t>
      </w:r>
      <w:r w:rsidRPr="000979C1" w:rsidR="00F15677">
        <w:rPr>
          <w:rFonts w:ascii="Times New Roman" w:hAnsi="Times New Roman" w:cs="Times New Roman"/>
          <w:sz w:val="24"/>
          <w:szCs w:val="24"/>
        </w:rPr>
        <w:t xml:space="preserve"> </w:t>
      </w:r>
      <w:r w:rsidR="000979C1">
        <w:rPr>
          <w:rFonts w:ascii="Times New Roman" w:hAnsi="Times New Roman" w:cs="Times New Roman"/>
          <w:sz w:val="24"/>
          <w:szCs w:val="24"/>
        </w:rPr>
        <w:t>(</w:t>
      </w:r>
      <w:r w:rsidR="000979C1">
        <w:rPr>
          <w:rFonts w:ascii="Times New Roman" w:hAnsi="Times New Roman" w:cs="Times New Roman"/>
          <w:sz w:val="24"/>
          <w:szCs w:val="24"/>
          <w:shd w:val="clear" w:color="auto" w:fill="FFFFFF"/>
        </w:rPr>
        <w:t xml:space="preserve">Janeček, </w:t>
      </w:r>
      <w:r w:rsidRPr="00C11F38" w:rsidR="000979C1">
        <w:rPr>
          <w:rFonts w:ascii="Times New Roman" w:hAnsi="Times New Roman" w:cs="Times New Roman"/>
          <w:sz w:val="24"/>
          <w:szCs w:val="24"/>
          <w:shd w:val="clear" w:color="auto" w:fill="FFFFFF"/>
        </w:rPr>
        <w:t xml:space="preserve">2014). </w:t>
      </w:r>
      <w:r w:rsidRPr="000979C1" w:rsidR="00F15677">
        <w:rPr>
          <w:rFonts w:ascii="Times New Roman" w:hAnsi="Times New Roman" w:cs="Times New Roman"/>
          <w:sz w:val="24"/>
          <w:szCs w:val="24"/>
        </w:rPr>
        <w:t xml:space="preserve">Moreover, the evidence of compelling in Tucker's analysis and the conclusion is deployed by the college students' act. For example, college students are pushing for suspending disbelief boundaries, enabling them to explore more mature self-sense.  Besides, compelling power is evidenced by the truth that there are differences despite the parallels between </w:t>
      </w:r>
      <w:r w:rsidRPr="000979C1" w:rsidR="000979C1">
        <w:rPr>
          <w:rFonts w:ascii="Times New Roman" w:hAnsi="Times New Roman" w:cs="Times New Roman"/>
          <w:sz w:val="24"/>
          <w:szCs w:val="24"/>
        </w:rPr>
        <w:t>preadolescents</w:t>
      </w:r>
      <w:r w:rsidRPr="000979C1" w:rsidR="00F15677">
        <w:rPr>
          <w:rFonts w:ascii="Times New Roman" w:hAnsi="Times New Roman" w:cs="Times New Roman"/>
          <w:sz w:val="24"/>
          <w:szCs w:val="24"/>
        </w:rPr>
        <w:t>. That's why others are facing phantoms concerning other things such as ''Resurrection Mary''</w:t>
      </w:r>
      <w:r w:rsidRPr="000979C1" w:rsidR="000979C1">
        <w:rPr>
          <w:rFonts w:ascii="Times New Roman" w:hAnsi="Times New Roman" w:cs="Times New Roman"/>
          <w:sz w:val="24"/>
          <w:szCs w:val="24"/>
        </w:rPr>
        <w:t>.</w:t>
      </w: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both"/>
        <w:rPr>
          <w:rFonts w:ascii="Times New Roman" w:hAnsi="Times New Roman" w:cs="Times New Roman"/>
          <w:sz w:val="24"/>
          <w:szCs w:val="24"/>
        </w:rPr>
      </w:pPr>
    </w:p>
    <w:p w:rsidR="000979C1" w:rsidP="000979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979C1" w:rsidRPr="00C11F38" w:rsidP="000979C1">
      <w:pPr>
        <w:spacing w:line="480" w:lineRule="auto"/>
        <w:ind w:left="720" w:hanging="720"/>
        <w:jc w:val="both"/>
        <w:rPr>
          <w:rFonts w:ascii="Times New Roman" w:hAnsi="Times New Roman" w:cs="Times New Roman"/>
          <w:sz w:val="24"/>
          <w:szCs w:val="24"/>
          <w:shd w:val="clear" w:color="auto" w:fill="FFFFFF"/>
        </w:rPr>
      </w:pPr>
      <w:r w:rsidRPr="00C11F38">
        <w:rPr>
          <w:rFonts w:ascii="Times New Roman" w:hAnsi="Times New Roman" w:cs="Times New Roman"/>
          <w:sz w:val="24"/>
          <w:szCs w:val="24"/>
          <w:shd w:val="clear" w:color="auto" w:fill="FFFFFF"/>
        </w:rPr>
        <w:t>Janeček, P. (2014). Bloody Mary or Krvavá Máří? Globalization and Czech Children’s Folklore. </w:t>
      </w:r>
      <w:r w:rsidRPr="00C11F38">
        <w:rPr>
          <w:rFonts w:ascii="Times New Roman" w:hAnsi="Times New Roman" w:cs="Times New Roman"/>
          <w:i/>
          <w:iCs/>
          <w:sz w:val="24"/>
          <w:szCs w:val="24"/>
          <w:shd w:val="clear" w:color="auto" w:fill="FFFFFF"/>
        </w:rPr>
        <w:t>Slovenský národopis</w:t>
      </w:r>
      <w:r w:rsidRPr="00C11F38">
        <w:rPr>
          <w:rFonts w:ascii="Times New Roman" w:hAnsi="Times New Roman" w:cs="Times New Roman"/>
          <w:sz w:val="24"/>
          <w:szCs w:val="24"/>
          <w:shd w:val="clear" w:color="auto" w:fill="FFFFFF"/>
        </w:rPr>
        <w:t>, </w:t>
      </w:r>
      <w:r w:rsidRPr="00C11F38">
        <w:rPr>
          <w:rFonts w:ascii="Times New Roman" w:hAnsi="Times New Roman" w:cs="Times New Roman"/>
          <w:i/>
          <w:iCs/>
          <w:sz w:val="24"/>
          <w:szCs w:val="24"/>
          <w:shd w:val="clear" w:color="auto" w:fill="FFFFFF"/>
        </w:rPr>
        <w:t>62</w:t>
      </w:r>
      <w:r w:rsidRPr="00C11F38">
        <w:rPr>
          <w:rFonts w:ascii="Times New Roman" w:hAnsi="Times New Roman" w:cs="Times New Roman"/>
          <w:sz w:val="24"/>
          <w:szCs w:val="24"/>
          <w:shd w:val="clear" w:color="auto" w:fill="FFFFFF"/>
        </w:rPr>
        <w:t>(2), 221-243.</w:t>
      </w:r>
    </w:p>
    <w:p w:rsidR="000979C1" w:rsidRPr="000979C1" w:rsidP="000979C1">
      <w:pPr>
        <w:spacing w:line="480" w:lineRule="auto"/>
        <w:ind w:firstLine="720"/>
        <w:jc w:val="both"/>
        <w:rPr>
          <w:rFonts w:ascii="Times New Roman" w:hAnsi="Times New Roman" w:cs="Times New Roman"/>
          <w:sz w:val="24"/>
          <w:szCs w:val="24"/>
        </w:rPr>
      </w:pPr>
    </w:p>
    <w:sectPr w:rsidSect="000979C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5343929"/>
      <w:docPartObj>
        <w:docPartGallery w:val="Page Numbers (Top of Page)"/>
        <w:docPartUnique/>
      </w:docPartObj>
    </w:sdtPr>
    <w:sdtEndPr>
      <w:rPr>
        <w:noProof/>
      </w:rPr>
    </w:sdtEndPr>
    <w:sdtContent>
      <w:p w:rsidR="000979C1">
        <w:pPr>
          <w:pStyle w:val="Header"/>
          <w:jc w:val="right"/>
        </w:pPr>
        <w:r>
          <w:t>COMPELLING TURCKER’S ANALYSIS AND CONCLUSION</w:t>
        </w:r>
        <w:r>
          <w:tab/>
        </w:r>
        <w:r>
          <w:tab/>
        </w:r>
        <w:r>
          <w:fldChar w:fldCharType="begin"/>
        </w:r>
        <w:r>
          <w:instrText xml:space="preserve"> PAGE   \* MERGEFORMAT </w:instrText>
        </w:r>
        <w:r>
          <w:fldChar w:fldCharType="separate"/>
        </w:r>
        <w:r>
          <w:rPr>
            <w:noProof/>
          </w:rPr>
          <w:t>2</w:t>
        </w:r>
        <w:r>
          <w:rPr>
            <w:noProof/>
          </w:rPr>
          <w:fldChar w:fldCharType="end"/>
        </w:r>
      </w:p>
    </w:sdtContent>
  </w:sdt>
  <w:p w:rsidR="00097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9C1">
    <w:pPr>
      <w:pStyle w:val="Header"/>
    </w:pPr>
    <w:r>
      <w:t xml:space="preserve">Running Head: </w:t>
    </w:r>
    <w:r>
      <w:t>COMPELLING TURCKER’S ANALYSIS AND CONCLUSION</w:t>
    </w:r>
    <w:r>
      <w:t xml:space="preserve"> </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BE4"/>
    <w:rsid w:val="000979C1"/>
    <w:rsid w:val="008E6BE4"/>
    <w:rsid w:val="00C11F38"/>
    <w:rsid w:val="00D43CB8"/>
    <w:rsid w:val="00E701C6"/>
    <w:rsid w:val="00F156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9C1"/>
  </w:style>
  <w:style w:type="paragraph" w:styleId="Footer">
    <w:name w:val="footer"/>
    <w:basedOn w:val="Normal"/>
    <w:link w:val="FooterChar"/>
    <w:uiPriority w:val="99"/>
    <w:unhideWhenUsed/>
    <w:rsid w:val="0009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2020-10-07T15:19:00Z</dcterms:created>
  <dcterms:modified xsi:type="dcterms:W3CDTF">2020-10-07T15:51:00Z</dcterms:modified>
</cp:coreProperties>
</file>