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BDA13D" w14:textId="77777777" w:rsidR="002930EA" w:rsidRDefault="002930EA">
      <w:pPr>
        <w:rPr>
          <w:b/>
          <w:bCs/>
        </w:rPr>
      </w:pPr>
    </w:p>
    <w:p w14:paraId="15DC82EF" w14:textId="77777777" w:rsidR="002930EA" w:rsidRDefault="002930EA">
      <w:pPr>
        <w:rPr>
          <w:b/>
          <w:bCs/>
        </w:rPr>
      </w:pPr>
    </w:p>
    <w:p w14:paraId="2266CD6A" w14:textId="77777777" w:rsidR="002930EA" w:rsidRDefault="002930EA">
      <w:pPr>
        <w:rPr>
          <w:b/>
          <w:bCs/>
        </w:rPr>
      </w:pPr>
    </w:p>
    <w:p w14:paraId="122698A8" w14:textId="77777777" w:rsidR="002930EA" w:rsidRDefault="002930EA">
      <w:pPr>
        <w:rPr>
          <w:b/>
          <w:bCs/>
        </w:rPr>
      </w:pPr>
    </w:p>
    <w:p w14:paraId="3D93E5CE" w14:textId="77777777" w:rsidR="002930EA" w:rsidRDefault="002930EA">
      <w:pPr>
        <w:rPr>
          <w:b/>
          <w:bCs/>
        </w:rPr>
      </w:pPr>
    </w:p>
    <w:p w14:paraId="5A0CF497" w14:textId="77777777" w:rsidR="002930EA" w:rsidRDefault="002930EA">
      <w:pPr>
        <w:rPr>
          <w:b/>
          <w:bCs/>
        </w:rPr>
      </w:pPr>
    </w:p>
    <w:p w14:paraId="01685B02" w14:textId="77777777" w:rsidR="002930EA" w:rsidRDefault="002930EA" w:rsidP="002930EA">
      <w:pPr>
        <w:jc w:val="center"/>
        <w:rPr>
          <w:b/>
          <w:bCs/>
        </w:rPr>
      </w:pPr>
    </w:p>
    <w:p w14:paraId="64DE32BD" w14:textId="77777777" w:rsidR="002930EA" w:rsidRDefault="002930EA" w:rsidP="002930EA">
      <w:pPr>
        <w:jc w:val="center"/>
        <w:rPr>
          <w:b/>
          <w:bCs/>
        </w:rPr>
      </w:pPr>
    </w:p>
    <w:p w14:paraId="35A08565" w14:textId="68E7EF87" w:rsidR="002930EA" w:rsidRPr="002930EA" w:rsidRDefault="001F6EED" w:rsidP="002930EA">
      <w:pPr>
        <w:jc w:val="center"/>
      </w:pPr>
      <w:bookmarkStart w:id="0" w:name="_GoBack"/>
      <w:r w:rsidRPr="002930EA">
        <w:t>Unit 4 Discussion</w:t>
      </w:r>
    </w:p>
    <w:bookmarkEnd w:id="0"/>
    <w:p w14:paraId="7C24BD94" w14:textId="37437113" w:rsidR="002930EA" w:rsidRPr="002930EA" w:rsidRDefault="001F6EED" w:rsidP="002930EA">
      <w:pPr>
        <w:jc w:val="center"/>
      </w:pPr>
      <w:r w:rsidRPr="002930EA">
        <w:t>Student’s Name</w:t>
      </w:r>
    </w:p>
    <w:p w14:paraId="53C871BD" w14:textId="73D2A849" w:rsidR="002930EA" w:rsidRPr="002930EA" w:rsidRDefault="00D01C25" w:rsidP="002930EA">
      <w:pPr>
        <w:jc w:val="center"/>
      </w:pPr>
      <w:r>
        <w:t>Institution Affiliation</w:t>
      </w:r>
    </w:p>
    <w:p w14:paraId="744927F0" w14:textId="77777777" w:rsidR="002930EA" w:rsidRDefault="002930EA">
      <w:pPr>
        <w:rPr>
          <w:b/>
          <w:bCs/>
        </w:rPr>
      </w:pPr>
    </w:p>
    <w:p w14:paraId="263505D2" w14:textId="77777777" w:rsidR="002930EA" w:rsidRDefault="002930EA">
      <w:pPr>
        <w:rPr>
          <w:b/>
          <w:bCs/>
        </w:rPr>
      </w:pPr>
    </w:p>
    <w:p w14:paraId="302797DA" w14:textId="77777777" w:rsidR="002930EA" w:rsidRDefault="001F6EED">
      <w:pPr>
        <w:spacing w:line="259" w:lineRule="auto"/>
        <w:jc w:val="left"/>
        <w:rPr>
          <w:b/>
          <w:bCs/>
        </w:rPr>
      </w:pPr>
      <w:r>
        <w:rPr>
          <w:b/>
          <w:bCs/>
        </w:rPr>
        <w:br w:type="page"/>
      </w:r>
    </w:p>
    <w:p w14:paraId="6EE89906" w14:textId="08689BA4" w:rsidR="00D56CCC" w:rsidRPr="00D56CCC" w:rsidRDefault="001F6EED">
      <w:pPr>
        <w:rPr>
          <w:b/>
          <w:bCs/>
        </w:rPr>
      </w:pPr>
      <w:r w:rsidRPr="00D56CCC">
        <w:rPr>
          <w:b/>
          <w:bCs/>
        </w:rPr>
        <w:lastRenderedPageBreak/>
        <w:t>1. Discuss and describe the primary difference between traditional income statements and contribution margin income statements.</w:t>
      </w:r>
    </w:p>
    <w:p w14:paraId="07BE3C02" w14:textId="4E0040A3" w:rsidR="00D86A77" w:rsidRDefault="001F6EED" w:rsidP="00DF0DE0">
      <w:pPr>
        <w:ind w:firstLine="720"/>
      </w:pPr>
      <w:r>
        <w:t xml:space="preserve">The core difference between </w:t>
      </w:r>
      <w:r w:rsidRPr="009074C4">
        <w:t>traditional income statements</w:t>
      </w:r>
      <w:r w:rsidRPr="009074C4">
        <w:t xml:space="preserve"> and contribution margin income statements</w:t>
      </w:r>
      <w:r>
        <w:t xml:space="preserve"> comes in with the way fixed, and variable expenses are treated. </w:t>
      </w:r>
      <w:r w:rsidR="00316CB3">
        <w:t xml:space="preserve">As a result of the way the two cost types are treated, the use and the format of each income statement varies. </w:t>
      </w:r>
      <w:r>
        <w:t>In the traditional income statement, f</w:t>
      </w:r>
      <w:r>
        <w:t xml:space="preserve">irst, a gross figure profit is obtained through subtracting the cost of goods sold (which is </w:t>
      </w:r>
      <w:r>
        <w:t>variable + fixed</w:t>
      </w:r>
      <w:r>
        <w:t>)</w:t>
      </w:r>
      <w:r w:rsidR="007E1549">
        <w:t xml:space="preserve"> from the sales revenue. Once this gross figure is obtained, the variable and fixed expenses (which are the marketing and administrative expenses) are subtracted from it to finally get the net operating income</w:t>
      </w:r>
      <w:r w:rsidR="00802C81">
        <w:t xml:space="preserve"> (</w:t>
      </w:r>
      <w:r w:rsidR="00802C81" w:rsidRPr="002930EA">
        <w:rPr>
          <w:rFonts w:eastAsia="Times New Roman" w:cs="Times New Roman"/>
          <w:szCs w:val="24"/>
        </w:rPr>
        <w:t>Fridson, &amp; Alvarez,</w:t>
      </w:r>
      <w:r w:rsidR="00802C81">
        <w:rPr>
          <w:rFonts w:eastAsia="Times New Roman" w:cs="Times New Roman"/>
          <w:szCs w:val="24"/>
        </w:rPr>
        <w:t xml:space="preserve"> </w:t>
      </w:r>
      <w:r w:rsidR="00802C81" w:rsidRPr="002930EA">
        <w:rPr>
          <w:rFonts w:eastAsia="Times New Roman" w:cs="Times New Roman"/>
          <w:szCs w:val="24"/>
        </w:rPr>
        <w:t>201</w:t>
      </w:r>
      <w:r w:rsidR="00802C81">
        <w:rPr>
          <w:rFonts w:eastAsia="Times New Roman" w:cs="Times New Roman"/>
          <w:szCs w:val="24"/>
        </w:rPr>
        <w:t>5</w:t>
      </w:r>
      <w:r w:rsidR="00802C81" w:rsidRPr="002930EA">
        <w:rPr>
          <w:rFonts w:eastAsia="Times New Roman" w:cs="Times New Roman"/>
          <w:szCs w:val="24"/>
        </w:rPr>
        <w:t>)</w:t>
      </w:r>
      <w:r w:rsidR="007E1549">
        <w:t xml:space="preserve">. </w:t>
      </w:r>
      <w:r w:rsidR="00C77966">
        <w:t>This procedure defines the traditional income statement.</w:t>
      </w:r>
    </w:p>
    <w:p w14:paraId="4E8292AA" w14:textId="2E0B6F6C" w:rsidR="009266A7" w:rsidRDefault="001F6EED" w:rsidP="00DF0DE0">
      <w:pPr>
        <w:ind w:firstLine="720"/>
      </w:pPr>
      <w:r>
        <w:t xml:space="preserve">In </w:t>
      </w:r>
      <w:r w:rsidRPr="009266A7">
        <w:t>the contribution margin income statement</w:t>
      </w:r>
      <w:r>
        <w:t xml:space="preserve">, first, the </w:t>
      </w:r>
      <w:r>
        <w:t>gross contribution margin</w:t>
      </w:r>
      <w:r>
        <w:t xml:space="preserve"> is obtained through subtr</w:t>
      </w:r>
      <w:r>
        <w:t xml:space="preserve">acting the </w:t>
      </w:r>
      <w:r>
        <w:t>variable cost of goods sold</w:t>
      </w:r>
      <w:r>
        <w:t xml:space="preserve"> from the </w:t>
      </w:r>
      <w:r>
        <w:t>sales revenue</w:t>
      </w:r>
      <w:r w:rsidR="000601CF">
        <w:t xml:space="preserve"> (</w:t>
      </w:r>
      <w:r w:rsidR="000601CF" w:rsidRPr="002930EA">
        <w:rPr>
          <w:rFonts w:eastAsia="Times New Roman" w:cs="Times New Roman"/>
          <w:szCs w:val="24"/>
        </w:rPr>
        <w:t>Fridson, &amp; Alvarez,</w:t>
      </w:r>
      <w:r w:rsidR="000601CF">
        <w:rPr>
          <w:rFonts w:eastAsia="Times New Roman" w:cs="Times New Roman"/>
          <w:szCs w:val="24"/>
        </w:rPr>
        <w:t xml:space="preserve"> </w:t>
      </w:r>
      <w:r w:rsidR="000601CF" w:rsidRPr="002930EA">
        <w:rPr>
          <w:rFonts w:eastAsia="Times New Roman" w:cs="Times New Roman"/>
          <w:szCs w:val="24"/>
        </w:rPr>
        <w:t>201</w:t>
      </w:r>
      <w:r w:rsidR="000601CF">
        <w:rPr>
          <w:rFonts w:eastAsia="Times New Roman" w:cs="Times New Roman"/>
          <w:szCs w:val="24"/>
        </w:rPr>
        <w:t>5</w:t>
      </w:r>
      <w:r w:rsidR="000601CF" w:rsidRPr="002930EA">
        <w:rPr>
          <w:rFonts w:eastAsia="Times New Roman" w:cs="Times New Roman"/>
          <w:szCs w:val="24"/>
        </w:rPr>
        <w:t>)</w:t>
      </w:r>
      <w:r>
        <w:t xml:space="preserve">. </w:t>
      </w:r>
      <w:r w:rsidR="005A7491">
        <w:t>Next, we get the contribution margin through subtracting variable administrative and marketing expenses from the obtained gross contribution margin. It is from this contribution margin figure</w:t>
      </w:r>
      <w:r w:rsidR="005867E3">
        <w:t xml:space="preserve"> where we deduct all the fixed costs to get the net operating income as it is represented in most </w:t>
      </w:r>
      <w:r w:rsidR="005867E3" w:rsidRPr="009266A7">
        <w:t>contribution margin income statement</w:t>
      </w:r>
      <w:r w:rsidR="005867E3">
        <w:t xml:space="preserve">. </w:t>
      </w:r>
    </w:p>
    <w:p w14:paraId="30FEA780" w14:textId="04C52E90" w:rsidR="008F16B7" w:rsidRPr="00941ECC" w:rsidRDefault="001F6EED" w:rsidP="00563DCC">
      <w:pPr>
        <w:ind w:firstLine="720"/>
      </w:pPr>
      <w:r>
        <w:t>Due to this primary difference, it makes even the usage to be quite different. For example, i</w:t>
      </w:r>
      <w:r>
        <w:t xml:space="preserve">n the </w:t>
      </w:r>
      <w:r>
        <w:t>traditional income statement</w:t>
      </w:r>
      <w:r>
        <w:t xml:space="preserve">, most of its users are people not in the organization. These people are like investors, banks, vendors, among other market stakeholders. The contribution margin statement is </w:t>
      </w:r>
      <w:r w:rsidR="00600AD9">
        <w:t>mostly used for the internal purposes of the organization. It is an accepted statement that clearly shows the expenses as well as revenues at a different peri</w:t>
      </w:r>
      <w:r w:rsidR="001B740D">
        <w:t>od. Due to this, it can be used for various making decisions related to the internal affairs of the organization. For example, it can tell the profitability of every product at a given time. This fact informs the company which product to con</w:t>
      </w:r>
      <w:r w:rsidR="00503DB3">
        <w:t>centrate on more.</w:t>
      </w:r>
    </w:p>
    <w:p w14:paraId="21C0D06F" w14:textId="4B2BAA8B" w:rsidR="00316CB3" w:rsidRDefault="001F6EED" w:rsidP="002930EA">
      <w:pPr>
        <w:jc w:val="center"/>
      </w:pPr>
      <w:r>
        <w:lastRenderedPageBreak/>
        <w:t>References</w:t>
      </w:r>
    </w:p>
    <w:p w14:paraId="00E3F7E7" w14:textId="77777777" w:rsidR="002930EA" w:rsidRPr="002930EA" w:rsidRDefault="001F6EED" w:rsidP="002930EA">
      <w:pPr>
        <w:spacing w:after="0"/>
        <w:ind w:left="720" w:hanging="720"/>
        <w:contextualSpacing/>
        <w:jc w:val="left"/>
        <w:rPr>
          <w:rFonts w:eastAsia="Times New Roman" w:cs="Times New Roman"/>
          <w:szCs w:val="24"/>
        </w:rPr>
      </w:pPr>
      <w:r w:rsidRPr="002930EA">
        <w:rPr>
          <w:rFonts w:eastAsia="Times New Roman" w:cs="Times New Roman"/>
          <w:szCs w:val="24"/>
        </w:rPr>
        <w:t>Fridson, M. S., &amp; Alvarez, F. (201</w:t>
      </w:r>
      <w:r>
        <w:rPr>
          <w:rFonts w:eastAsia="Times New Roman" w:cs="Times New Roman"/>
          <w:szCs w:val="24"/>
        </w:rPr>
        <w:t>5</w:t>
      </w:r>
      <w:r w:rsidRPr="002930EA">
        <w:rPr>
          <w:rFonts w:eastAsia="Times New Roman" w:cs="Times New Roman"/>
          <w:szCs w:val="24"/>
        </w:rPr>
        <w:t xml:space="preserve">). </w:t>
      </w:r>
      <w:r w:rsidRPr="002930EA">
        <w:rPr>
          <w:rFonts w:eastAsia="Times New Roman" w:cs="Times New Roman"/>
          <w:i/>
          <w:iCs/>
          <w:szCs w:val="24"/>
        </w:rPr>
        <w:t>Financial statement analysis: a practitioner's guide</w:t>
      </w:r>
      <w:r w:rsidRPr="002930EA">
        <w:rPr>
          <w:rFonts w:eastAsia="Times New Roman" w:cs="Times New Roman"/>
          <w:szCs w:val="24"/>
        </w:rPr>
        <w:t xml:space="preserve"> (Vol. 597). John Wiley &amp; Sons.</w:t>
      </w:r>
    </w:p>
    <w:p w14:paraId="44AA0FC4" w14:textId="77777777" w:rsidR="002930EA" w:rsidRPr="002930EA" w:rsidRDefault="001F6EED" w:rsidP="002930EA">
      <w:pPr>
        <w:spacing w:after="0"/>
        <w:ind w:left="720" w:hanging="720"/>
        <w:contextualSpacing/>
        <w:jc w:val="left"/>
        <w:rPr>
          <w:rFonts w:eastAsia="Times New Roman" w:cs="Times New Roman"/>
          <w:szCs w:val="24"/>
        </w:rPr>
      </w:pPr>
      <w:r w:rsidRPr="002930EA">
        <w:rPr>
          <w:rFonts w:eastAsia="Times New Roman" w:cs="Times New Roman"/>
          <w:szCs w:val="24"/>
        </w:rPr>
        <w:t>Libby, R.</w:t>
      </w:r>
      <w:r w:rsidRPr="002930EA">
        <w:rPr>
          <w:rFonts w:eastAsia="Times New Roman" w:cs="Times New Roman"/>
          <w:szCs w:val="24"/>
        </w:rPr>
        <w:t xml:space="preserve"> (2017). Accounting and human information processing. In </w:t>
      </w:r>
      <w:r w:rsidRPr="002930EA">
        <w:rPr>
          <w:rFonts w:eastAsia="Times New Roman" w:cs="Times New Roman"/>
          <w:i/>
          <w:iCs/>
          <w:szCs w:val="24"/>
        </w:rPr>
        <w:t>The Routledge Companion to Behavioural Accounting Research</w:t>
      </w:r>
      <w:r w:rsidRPr="002930EA">
        <w:rPr>
          <w:rFonts w:eastAsia="Times New Roman" w:cs="Times New Roman"/>
          <w:szCs w:val="24"/>
        </w:rPr>
        <w:t xml:space="preserve"> (pp. 42-54). Routledge.</w:t>
      </w:r>
    </w:p>
    <w:p w14:paraId="0A05EBCD" w14:textId="77777777" w:rsidR="002930EA" w:rsidRPr="0015065F" w:rsidRDefault="002930EA" w:rsidP="002930EA"/>
    <w:p w14:paraId="1CA7BB54" w14:textId="77777777" w:rsidR="005A7491" w:rsidRPr="005A7491" w:rsidRDefault="005A7491"/>
    <w:sectPr w:rsidR="005A7491" w:rsidRPr="005A7491" w:rsidSect="002930E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DAE33" w14:textId="77777777" w:rsidR="001F6EED" w:rsidRDefault="001F6EED">
      <w:pPr>
        <w:spacing w:after="0" w:line="240" w:lineRule="auto"/>
      </w:pPr>
      <w:r>
        <w:separator/>
      </w:r>
    </w:p>
  </w:endnote>
  <w:endnote w:type="continuationSeparator" w:id="0">
    <w:p w14:paraId="6B7A2CAB" w14:textId="77777777" w:rsidR="001F6EED" w:rsidRDefault="001F6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13284" w14:textId="77777777" w:rsidR="001F6EED" w:rsidRDefault="001F6EED">
      <w:pPr>
        <w:spacing w:after="0" w:line="240" w:lineRule="auto"/>
      </w:pPr>
      <w:r>
        <w:separator/>
      </w:r>
    </w:p>
  </w:footnote>
  <w:footnote w:type="continuationSeparator" w:id="0">
    <w:p w14:paraId="72FA111B" w14:textId="77777777" w:rsidR="001F6EED" w:rsidRDefault="001F6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97DE4" w14:textId="59EC4EB5" w:rsidR="002930EA" w:rsidRDefault="001F6EED">
    <w:pPr>
      <w:pStyle w:val="Header"/>
      <w:jc w:val="right"/>
    </w:pPr>
    <w:r w:rsidRPr="002930EA">
      <w:t>UNIT 4 DISCUSSION</w:t>
    </w:r>
    <w:r>
      <w:t xml:space="preserve"> </w:t>
    </w:r>
    <w:r>
      <w:tab/>
    </w:r>
    <w:r>
      <w:tab/>
    </w:r>
    <w:sdt>
      <w:sdtPr>
        <w:id w:val="-9893220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1C25">
          <w:rPr>
            <w:noProof/>
          </w:rPr>
          <w:t>2</w:t>
        </w:r>
        <w:r>
          <w:rPr>
            <w:noProof/>
          </w:rPr>
          <w:fldChar w:fldCharType="end"/>
        </w:r>
      </w:sdtContent>
    </w:sdt>
  </w:p>
  <w:p w14:paraId="112880E4" w14:textId="77777777" w:rsidR="002930EA" w:rsidRDefault="002930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3B426" w14:textId="097A0071" w:rsidR="002930EA" w:rsidRDefault="001F6EED">
    <w:pPr>
      <w:pStyle w:val="Header"/>
      <w:jc w:val="right"/>
    </w:pPr>
    <w:r>
      <w:t xml:space="preserve">Running head: </w:t>
    </w:r>
    <w:r w:rsidRPr="002930EA">
      <w:t>UNIT 4 DISCUSSION</w:t>
    </w:r>
    <w:sdt>
      <w:sdtPr>
        <w:id w:val="1588495764"/>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D01C25">
          <w:rPr>
            <w:noProof/>
          </w:rPr>
          <w:t>1</w:t>
        </w:r>
        <w:r>
          <w:rPr>
            <w:noProof/>
          </w:rPr>
          <w:fldChar w:fldCharType="end"/>
        </w:r>
      </w:sdtContent>
    </w:sdt>
  </w:p>
  <w:p w14:paraId="322BA278" w14:textId="77777777" w:rsidR="002930EA" w:rsidRDefault="002930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477FA0"/>
    <w:multiLevelType w:val="hybridMultilevel"/>
    <w:tmpl w:val="E9FCEC54"/>
    <w:lvl w:ilvl="0" w:tplc="2B20B564">
      <w:start w:val="1"/>
      <w:numFmt w:val="lowerRoman"/>
      <w:lvlText w:val="%1)"/>
      <w:lvlJc w:val="left"/>
      <w:pPr>
        <w:ind w:left="1080" w:hanging="720"/>
      </w:pPr>
      <w:rPr>
        <w:rFonts w:hint="default"/>
      </w:rPr>
    </w:lvl>
    <w:lvl w:ilvl="1" w:tplc="6AB04BA0" w:tentative="1">
      <w:start w:val="1"/>
      <w:numFmt w:val="lowerLetter"/>
      <w:lvlText w:val="%2."/>
      <w:lvlJc w:val="left"/>
      <w:pPr>
        <w:ind w:left="1440" w:hanging="360"/>
      </w:pPr>
    </w:lvl>
    <w:lvl w:ilvl="2" w:tplc="A970C7FE" w:tentative="1">
      <w:start w:val="1"/>
      <w:numFmt w:val="lowerRoman"/>
      <w:lvlText w:val="%3."/>
      <w:lvlJc w:val="right"/>
      <w:pPr>
        <w:ind w:left="2160" w:hanging="180"/>
      </w:pPr>
    </w:lvl>
    <w:lvl w:ilvl="3" w:tplc="F85EBEC6" w:tentative="1">
      <w:start w:val="1"/>
      <w:numFmt w:val="decimal"/>
      <w:lvlText w:val="%4."/>
      <w:lvlJc w:val="left"/>
      <w:pPr>
        <w:ind w:left="2880" w:hanging="360"/>
      </w:pPr>
    </w:lvl>
    <w:lvl w:ilvl="4" w:tplc="2D7AE63C" w:tentative="1">
      <w:start w:val="1"/>
      <w:numFmt w:val="lowerLetter"/>
      <w:lvlText w:val="%5."/>
      <w:lvlJc w:val="left"/>
      <w:pPr>
        <w:ind w:left="3600" w:hanging="360"/>
      </w:pPr>
    </w:lvl>
    <w:lvl w:ilvl="5" w:tplc="4108372A" w:tentative="1">
      <w:start w:val="1"/>
      <w:numFmt w:val="lowerRoman"/>
      <w:lvlText w:val="%6."/>
      <w:lvlJc w:val="right"/>
      <w:pPr>
        <w:ind w:left="4320" w:hanging="180"/>
      </w:pPr>
    </w:lvl>
    <w:lvl w:ilvl="6" w:tplc="C04A6312" w:tentative="1">
      <w:start w:val="1"/>
      <w:numFmt w:val="decimal"/>
      <w:lvlText w:val="%7."/>
      <w:lvlJc w:val="left"/>
      <w:pPr>
        <w:ind w:left="5040" w:hanging="360"/>
      </w:pPr>
    </w:lvl>
    <w:lvl w:ilvl="7" w:tplc="1ADE02DA" w:tentative="1">
      <w:start w:val="1"/>
      <w:numFmt w:val="lowerLetter"/>
      <w:lvlText w:val="%8."/>
      <w:lvlJc w:val="left"/>
      <w:pPr>
        <w:ind w:left="5760" w:hanging="360"/>
      </w:pPr>
    </w:lvl>
    <w:lvl w:ilvl="8" w:tplc="D28A7D3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A43"/>
    <w:rsid w:val="000601CF"/>
    <w:rsid w:val="00083461"/>
    <w:rsid w:val="000F364A"/>
    <w:rsid w:val="0015065F"/>
    <w:rsid w:val="001A0CFA"/>
    <w:rsid w:val="001B740D"/>
    <w:rsid w:val="001F6EED"/>
    <w:rsid w:val="002930EA"/>
    <w:rsid w:val="00316CB3"/>
    <w:rsid w:val="00371C0A"/>
    <w:rsid w:val="004369F6"/>
    <w:rsid w:val="004B1119"/>
    <w:rsid w:val="004B2458"/>
    <w:rsid w:val="00503DB3"/>
    <w:rsid w:val="00563DCC"/>
    <w:rsid w:val="00583AD4"/>
    <w:rsid w:val="005867E3"/>
    <w:rsid w:val="005A7491"/>
    <w:rsid w:val="00600AD9"/>
    <w:rsid w:val="007238A6"/>
    <w:rsid w:val="00747468"/>
    <w:rsid w:val="00771788"/>
    <w:rsid w:val="007E1549"/>
    <w:rsid w:val="00802C81"/>
    <w:rsid w:val="00841FEF"/>
    <w:rsid w:val="00894975"/>
    <w:rsid w:val="008F16B7"/>
    <w:rsid w:val="009074C4"/>
    <w:rsid w:val="009266A7"/>
    <w:rsid w:val="009342BB"/>
    <w:rsid w:val="00941ECC"/>
    <w:rsid w:val="00960728"/>
    <w:rsid w:val="009D75E1"/>
    <w:rsid w:val="009F7741"/>
    <w:rsid w:val="00B36692"/>
    <w:rsid w:val="00B60A43"/>
    <w:rsid w:val="00BF6962"/>
    <w:rsid w:val="00C77966"/>
    <w:rsid w:val="00CC61EC"/>
    <w:rsid w:val="00D01C25"/>
    <w:rsid w:val="00D3087D"/>
    <w:rsid w:val="00D56CCC"/>
    <w:rsid w:val="00D86A77"/>
    <w:rsid w:val="00DF0DE0"/>
    <w:rsid w:val="00E545FA"/>
    <w:rsid w:val="00E72718"/>
    <w:rsid w:val="00E74122"/>
    <w:rsid w:val="00EA2566"/>
    <w:rsid w:val="00F00622"/>
    <w:rsid w:val="00F47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F82600-1DF4-461F-8F24-AA9EB9E2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5FA"/>
    <w:pPr>
      <w:ind w:left="720"/>
      <w:contextualSpacing/>
    </w:pPr>
  </w:style>
  <w:style w:type="paragraph" w:styleId="Header">
    <w:name w:val="header"/>
    <w:basedOn w:val="Normal"/>
    <w:link w:val="HeaderChar"/>
    <w:uiPriority w:val="99"/>
    <w:unhideWhenUsed/>
    <w:rsid w:val="002930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0EA"/>
    <w:rPr>
      <w:rFonts w:ascii="Times New Roman" w:hAnsi="Times New Roman"/>
      <w:sz w:val="24"/>
    </w:rPr>
  </w:style>
  <w:style w:type="paragraph" w:styleId="Footer">
    <w:name w:val="footer"/>
    <w:basedOn w:val="Normal"/>
    <w:link w:val="FooterChar"/>
    <w:uiPriority w:val="99"/>
    <w:unhideWhenUsed/>
    <w:rsid w:val="002930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0E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2020-02-09T22:20:00Z</dcterms:created>
  <dcterms:modified xsi:type="dcterms:W3CDTF">2020-02-09T22:20:00Z</dcterms:modified>
</cp:coreProperties>
</file>